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rFonts w:eastAsia="Calibri"/>
          <w:b w:val="0"/>
          <w:bCs w:val="0"/>
          <w:sz w:val="22"/>
          <w:szCs w:val="22"/>
        </w:rPr>
      </w:pPr>
      <w:r>
        <w:rPr>
          <w:rFonts w:eastAsia="Calibri"/>
          <w:b w:val="0"/>
          <w:bCs w:val="0"/>
          <w:sz w:val="22"/>
          <w:szCs w:val="22"/>
        </w:rPr>
        <w:t xml:space="preserve">Приложение 1 к Документации о закупке</w:t>
      </w:r>
      <w:r>
        <w:rPr>
          <w:rFonts w:eastAsia="Calibri"/>
          <w:b w:val="0"/>
          <w:bCs w:val="0"/>
          <w:sz w:val="22"/>
          <w:szCs w:val="22"/>
        </w:rPr>
      </w:r>
      <w:r>
        <w:rPr>
          <w:rFonts w:eastAsia="Calibri"/>
          <w:b w:val="0"/>
          <w:bCs w:val="0"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Технические требования </w:t>
      </w:r>
      <w:r>
        <w:rPr>
          <w:rFonts w:eastAsia="Calibri"/>
          <w:b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i w:val="0"/>
          <w:iCs w:val="0"/>
          <w:sz w:val="28"/>
          <w:szCs w:val="28"/>
        </w:rPr>
      </w:pPr>
      <w:r>
        <w:rPr>
          <w:rFonts w:eastAsia="Calibri"/>
          <w:b/>
          <w:i w:val="0"/>
          <w:iCs w:val="0"/>
          <w:sz w:val="28"/>
          <w:szCs w:val="28"/>
        </w:rPr>
      </w:r>
      <w:r>
        <w:rPr>
          <w:rFonts w:eastAsia="Calibri"/>
          <w:b/>
          <w:i w:val="0"/>
          <w:iCs w:val="0"/>
          <w:sz w:val="28"/>
          <w:szCs w:val="28"/>
        </w:rPr>
      </w:r>
      <w:r>
        <w:rPr>
          <w:rFonts w:eastAsia="Calibri"/>
          <w:b/>
          <w:i w:val="0"/>
          <w:iCs w:val="0"/>
          <w:sz w:val="28"/>
          <w:szCs w:val="28"/>
        </w:rPr>
      </w:r>
    </w:p>
    <w:p>
      <w:pPr>
        <w:ind w:left="-108" w:right="-108"/>
        <w:jc w:val="center"/>
        <w:spacing w:before="60" w:after="60"/>
        <w:rPr>
          <w:bCs/>
          <w:i w:val="0"/>
          <w:iCs w:val="0"/>
          <w:sz w:val="28"/>
          <w:szCs w:val="28"/>
          <w:highlight w:val="yellow"/>
        </w:rPr>
      </w:pPr>
      <w:r>
        <w:rPr>
          <w:rFonts w:eastAsia="Calibri"/>
          <w:i w:val="0"/>
          <w:iCs w:val="0"/>
          <w:sz w:val="28"/>
          <w:szCs w:val="28"/>
        </w:rPr>
        <w:t xml:space="preserve">«</w:t>
      </w:r>
      <w:r>
        <w:rPr>
          <w:i w:val="0"/>
          <w:iCs w:val="0"/>
          <w:color w:val="000000"/>
          <w:sz w:val="28"/>
          <w:szCs w:val="28"/>
        </w:rPr>
        <w:t xml:space="preserve">ОКПД2 43.12.11.190 </w:t>
      </w:r>
      <w:r>
        <w:rPr>
          <w:i w:val="0"/>
          <w:iCs w:val="0"/>
          <w:color w:val="000000"/>
          <w:sz w:val="28"/>
          <w:szCs w:val="28"/>
        </w:rPr>
        <w:t xml:space="preserve">Выполнение работ</w:t>
      </w:r>
      <w:r>
        <w:rPr>
          <w:i w:val="0"/>
          <w:iCs w:val="0"/>
          <w:color w:val="000000"/>
          <w:sz w:val="28"/>
          <w:szCs w:val="28"/>
        </w:rPr>
        <w:t xml:space="preserve"> по чистке чаши шлакозолоотвалов Чульманской ТЭЦ, пос. Чульман и НГВК, г. Нерюнгри</w:t>
      </w:r>
      <w:r>
        <w:rPr>
          <w:rFonts w:eastAsia="Calibri"/>
          <w:i w:val="0"/>
          <w:iCs w:val="0"/>
          <w:sz w:val="28"/>
          <w:szCs w:val="28"/>
        </w:rPr>
        <w:t xml:space="preserve">» </w:t>
      </w:r>
      <w:r>
        <w:rPr>
          <w:bCs/>
          <w:i w:val="0"/>
          <w:iCs w:val="0"/>
          <w:sz w:val="28"/>
          <w:szCs w:val="28"/>
          <w:highlight w:val="yellow"/>
        </w:rPr>
      </w:r>
      <w:r>
        <w:rPr>
          <w:bCs/>
          <w:i w:val="0"/>
          <w:iCs w:val="0"/>
          <w:sz w:val="28"/>
          <w:szCs w:val="28"/>
          <w:highlight w:val="yellow"/>
        </w:rPr>
      </w:r>
    </w:p>
    <w:p>
      <w:pPr>
        <w:jc w:val="center"/>
        <w:keepLines/>
        <w:keepNext/>
        <w:rPr>
          <w:rFonts w:eastAsia="Calibri"/>
          <w:b/>
          <w:i w:val="0"/>
          <w:iCs w:val="0"/>
          <w:sz w:val="26"/>
          <w:szCs w:val="26"/>
        </w:rPr>
      </w:pPr>
      <w:r>
        <w:rPr>
          <w:rFonts w:eastAsia="Calibri"/>
          <w:b/>
          <w:i w:val="0"/>
          <w:iCs w:val="0"/>
          <w:sz w:val="28"/>
          <w:szCs w:val="28"/>
        </w:rPr>
        <w:t xml:space="preserve">Лот № </w:t>
      </w:r>
      <w:r>
        <w:rPr>
          <w:b/>
          <w:bCs/>
          <w:i w:val="0"/>
          <w:iCs w:val="0"/>
          <w:sz w:val="28"/>
          <w:szCs w:val="28"/>
        </w:rPr>
        <w:t xml:space="preserve">41023009-ЭКСП ПРОД-2026-ДГК-НерГРЭС</w:t>
      </w:r>
      <w:r>
        <w:rPr>
          <w:rFonts w:eastAsia="Calibri"/>
          <w:b/>
          <w:i w:val="0"/>
          <w:iCs w:val="0"/>
          <w:sz w:val="26"/>
          <w:szCs w:val="26"/>
        </w:rPr>
      </w:r>
      <w:r>
        <w:rPr>
          <w:rFonts w:eastAsia="Calibri"/>
          <w:b/>
          <w:i w:val="0"/>
          <w:iCs w:val="0"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br w:type="page" w:clear="all"/>
      </w: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p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СОДЕРЖАНИЕ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1150"/>
        <w:tabs>
          <w:tab w:val="left" w:pos="560" w:leader="none"/>
          <w:tab w:val="right" w:pos="978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rFonts w:cstheme="majorHAnsi"/>
          <w:b w:val="0"/>
          <w:i/>
          <w:sz w:val="22"/>
          <w:szCs w:val="22"/>
        </w:rPr>
        <w:fldChar w:fldCharType="begin"/>
      </w:r>
      <w:r>
        <w:rPr>
          <w:rFonts w:cstheme="majorHAnsi"/>
          <w:b w:val="0"/>
          <w:i/>
          <w:sz w:val="22"/>
          <w:szCs w:val="22"/>
        </w:rPr>
        <w:instrText xml:space="preserve"> TOC \o "1-4" \h \z \u </w:instrText>
      </w:r>
      <w:r>
        <w:rPr>
          <w:rFonts w:cstheme="majorHAnsi"/>
          <w:b w:val="0"/>
          <w:i/>
          <w:sz w:val="22"/>
          <w:szCs w:val="22"/>
        </w:rPr>
        <w:fldChar w:fldCharType="separate"/>
      </w:r>
      <w:hyperlink w:tooltip="#_Toc54646395" w:anchor="_Toc54646395" w:history="1">
        <w:r>
          <w:rPr>
            <w:rStyle w:val="1151"/>
            <w:sz w:val="22"/>
            <w:szCs w:val="22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1151"/>
            <w:sz w:val="22"/>
            <w:szCs w:val="22"/>
          </w:rPr>
          <w:t xml:space="preserve">Общие сведения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PAGEREF _Toc54646395 \h 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 xml:space="preserve">3</w:t>
        </w:r>
        <w:r>
          <w:rPr>
            <w:sz w:val="22"/>
            <w:szCs w:val="22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152"/>
        <w:tabs>
          <w:tab w:val="left" w:pos="1120" w:leader="none"/>
          <w:tab w:val="right" w:pos="978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>
        <w:rPr>
          <w:sz w:val="22"/>
          <w:szCs w:val="22"/>
        </w:rPr>
      </w:r>
      <w:hyperlink w:tooltip="#_Toc54646396" w:anchor="_Toc54646396" w:history="1">
        <w:r>
          <w:rPr>
            <w:rStyle w:val="1151"/>
            <w:iCs/>
            <w:sz w:val="22"/>
            <w:szCs w:val="22"/>
          </w:rPr>
          <w:t xml:space="preserve">1.1.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151"/>
            <w:sz w:val="22"/>
            <w:szCs w:val="22"/>
          </w:rPr>
          <w:t xml:space="preserve">Обозначения и сокращения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PAGEREF _Toc54646396 \h 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 xml:space="preserve">3</w:t>
        </w:r>
        <w:r>
          <w:rPr>
            <w:sz w:val="22"/>
            <w:szCs w:val="22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152"/>
        <w:tabs>
          <w:tab w:val="left" w:pos="1120" w:leader="none"/>
          <w:tab w:val="right" w:pos="978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>
        <w:rPr>
          <w:sz w:val="22"/>
          <w:szCs w:val="22"/>
        </w:rPr>
      </w:r>
      <w:hyperlink w:tooltip="#_Toc54646397" w:anchor="_Toc54646397" w:history="1">
        <w:r>
          <w:rPr>
            <w:rStyle w:val="1151"/>
            <w:iCs/>
            <w:sz w:val="22"/>
            <w:szCs w:val="22"/>
          </w:rPr>
          <w:t xml:space="preserve">1.2.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151"/>
            <w:sz w:val="22"/>
            <w:szCs w:val="22"/>
          </w:rPr>
          <w:t xml:space="preserve">Наименование закупаемой продукции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PAGEREF _Toc54646397 \h 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 xml:space="preserve">4</w:t>
        </w:r>
        <w:r>
          <w:rPr>
            <w:sz w:val="22"/>
            <w:szCs w:val="22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152"/>
        <w:tabs>
          <w:tab w:val="left" w:pos="1120" w:leader="none"/>
          <w:tab w:val="right" w:pos="978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>
        <w:rPr>
          <w:sz w:val="22"/>
          <w:szCs w:val="22"/>
        </w:rPr>
      </w:r>
      <w:hyperlink w:tooltip="#_Toc54646398" w:anchor="_Toc54646398" w:history="1">
        <w:r>
          <w:rPr>
            <w:rStyle w:val="1151"/>
            <w:iCs/>
            <w:sz w:val="22"/>
            <w:szCs w:val="22"/>
          </w:rPr>
          <w:t xml:space="preserve">1.3.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151"/>
            <w:sz w:val="22"/>
            <w:szCs w:val="22"/>
          </w:rPr>
          <w:t xml:space="preserve">Цель выполнения работ 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PAGEREF _Toc54646398 \h 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 xml:space="preserve">4</w:t>
        </w:r>
        <w:r>
          <w:rPr>
            <w:sz w:val="22"/>
            <w:szCs w:val="22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152"/>
        <w:tabs>
          <w:tab w:val="left" w:pos="1120" w:leader="none"/>
          <w:tab w:val="right" w:pos="978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150"/>
        <w:ind w:firstLine="567"/>
        <w:tabs>
          <w:tab w:val="right" w:pos="978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sz w:val="22"/>
          <w:szCs w:val="22"/>
        </w:rPr>
      </w:r>
      <w:hyperlink w:tooltip="#_Toc54646400" w:anchor="_Toc54646400" w:history="1">
        <w:r>
          <w:rPr>
            <w:rStyle w:val="1151"/>
            <w:sz w:val="22"/>
            <w:szCs w:val="22"/>
          </w:rPr>
          <w:t xml:space="preserve">Таблица 1. Перечень объектов заказчика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PAGEREF _Toc54646400 \h 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 xml:space="preserve">4</w:t>
        </w:r>
        <w:r>
          <w:rPr>
            <w:sz w:val="22"/>
            <w:szCs w:val="22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152"/>
        <w:tabs>
          <w:tab w:val="left" w:pos="1120" w:leader="none"/>
          <w:tab w:val="right" w:pos="978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>
        <w:rPr>
          <w:sz w:val="22"/>
          <w:szCs w:val="22"/>
        </w:rPr>
      </w:r>
      <w:hyperlink w:tooltip="#_Toc54646401" w:anchor="_Таблица_1." w:history="1">
        <w:r>
          <w:rPr>
            <w:rStyle w:val="1151"/>
            <w:iCs/>
            <w:color w:val="auto"/>
            <w:sz w:val="22"/>
            <w:szCs w:val="22"/>
          </w:rPr>
          <w:t xml:space="preserve">1.4. Информация в отношении исполнения договора, которая должна быть учтена при подготовке заявки (в том числе пере</w:t>
        </w:r>
        <w:r>
          <w:rPr>
            <w:rStyle w:val="1151"/>
            <w:iCs/>
            <w:color w:val="auto"/>
            <w:sz w:val="22"/>
            <w:szCs w:val="22"/>
          </w:rPr>
          <w:t xml:space="preserve">чень ресурсов, услуг и документов, предоставляемых заказчиком на этапе исполнения договора)....................................................................................................................................................</w:t>
        </w:r>
      </w:hyperlink>
      <w:r>
        <w:rPr>
          <w:rStyle w:val="1151"/>
          <w:iCs/>
          <w:color w:val="auto"/>
          <w:sz w:val="22"/>
          <w:szCs w:val="22"/>
          <w:u w:val="none"/>
        </w:rPr>
        <w:t xml:space="preserve">4</w:t>
      </w:r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150"/>
        <w:tabs>
          <w:tab w:val="left" w:pos="560" w:leader="none"/>
          <w:tab w:val="right" w:pos="9781" w:leader="dot"/>
        </w:tabs>
        <w:rPr>
          <w:rFonts w:asciiTheme="minorHAnsi" w:hAnsiTheme="minorHAnsi" w:eastAsiaTheme="minorEastAsia" w:cstheme="minorBidi"/>
          <w:bCs w:val="0"/>
          <w:sz w:val="22"/>
          <w:szCs w:val="22"/>
        </w:rPr>
      </w:pPr>
      <w:r>
        <w:rPr>
          <w:sz w:val="22"/>
          <w:szCs w:val="22"/>
        </w:rPr>
      </w:r>
      <w:hyperlink w:tooltip="#_Toc54646403" w:anchor="_Toc54646403" w:history="1">
        <w:r>
          <w:rPr>
            <w:rStyle w:val="1151"/>
            <w:sz w:val="22"/>
            <w:szCs w:val="22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1151"/>
            <w:iCs/>
            <w:sz w:val="22"/>
            <w:szCs w:val="22"/>
          </w:rPr>
          <w:t xml:space="preserve">Требования к продукции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PAGEREF _Toc54646403 \h </w:instrText>
        </w:r>
        <w:r>
          <w:rPr>
            <w:sz w:val="22"/>
            <w:szCs w:val="22"/>
          </w:rPr>
          <w:fldChar w:fldCharType="separate"/>
        </w:r>
        <w:r>
          <w:rPr>
            <w:bCs w:val="0"/>
            <w:sz w:val="22"/>
            <w:szCs w:val="22"/>
          </w:rPr>
          <w:t xml:space="preserve">5</w:t>
        </w:r>
        <w:r>
          <w:rPr>
            <w:sz w:val="22"/>
            <w:szCs w:val="22"/>
          </w:rPr>
          <w:fldChar w:fldCharType="end"/>
        </w:r>
      </w:hyperlink>
      <w:r>
        <w:rPr>
          <w:rFonts w:asciiTheme="minorHAnsi" w:hAnsiTheme="minorHAnsi" w:eastAsiaTheme="minorEastAsia" w:cstheme="minorBidi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Cs w:val="0"/>
          <w:sz w:val="22"/>
          <w:szCs w:val="22"/>
        </w:rPr>
      </w:r>
    </w:p>
    <w:p>
      <w:pPr>
        <w:pStyle w:val="1152"/>
        <w:tabs>
          <w:tab w:val="left" w:pos="1120" w:leader="none"/>
          <w:tab w:val="right" w:pos="978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>
        <w:rPr>
          <w:sz w:val="22"/>
          <w:szCs w:val="22"/>
        </w:rPr>
      </w:r>
      <w:hyperlink w:tooltip="#_Toc54646404" w:anchor="_Toc54646404" w:history="1">
        <w:r>
          <w:rPr>
            <w:rStyle w:val="1151"/>
            <w:iCs/>
            <w:sz w:val="22"/>
            <w:szCs w:val="22"/>
          </w:rPr>
          <w:t xml:space="preserve">2.1.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151"/>
            <w:sz w:val="22"/>
            <w:szCs w:val="22"/>
          </w:rPr>
          <w:t xml:space="preserve">Требования к объемам и срокам выполнения работ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PAGEREF _Toc54646404 \h 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 xml:space="preserve">5</w:t>
        </w:r>
        <w:r>
          <w:rPr>
            <w:sz w:val="22"/>
            <w:szCs w:val="22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150"/>
        <w:ind w:firstLine="567"/>
        <w:tabs>
          <w:tab w:val="right" w:pos="978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sz w:val="22"/>
          <w:szCs w:val="22"/>
        </w:rPr>
      </w:r>
      <w:hyperlink w:tooltip="#_Toc54646406" w:anchor="_Toc54646406" w:history="1">
        <w:r>
          <w:rPr>
            <w:rStyle w:val="1151"/>
            <w:sz w:val="22"/>
            <w:szCs w:val="22"/>
          </w:rPr>
          <w:t xml:space="preserve">Таблица 2. Перечень и объем выполняемых работ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PAGEREF _Toc54646406 \h 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 xml:space="preserve">5</w:t>
        </w:r>
        <w:r>
          <w:rPr>
            <w:sz w:val="22"/>
            <w:szCs w:val="22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150"/>
        <w:ind w:firstLine="567"/>
        <w:tabs>
          <w:tab w:val="right" w:pos="978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sz w:val="22"/>
          <w:szCs w:val="22"/>
        </w:rPr>
      </w:r>
      <w:hyperlink w:tooltip="#_Toc54646408" w:anchor="_Toc54646408" w:history="1">
        <w:r>
          <w:rPr>
            <w:rStyle w:val="1151"/>
            <w:sz w:val="22"/>
            <w:szCs w:val="22"/>
          </w:rPr>
          <w:t xml:space="preserve">Таблица 3. Требования по срокам выполнения работ</w:t>
        </w:r>
        <w:r>
          <w:rPr>
            <w:sz w:val="22"/>
            <w:szCs w:val="22"/>
          </w:rPr>
          <w:tab/>
        </w:r>
      </w:hyperlink>
      <w:r>
        <w:rPr>
          <w:sz w:val="22"/>
          <w:szCs w:val="22"/>
        </w:rPr>
        <w:t xml:space="preserve">5</w:t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152"/>
        <w:tabs>
          <w:tab w:val="left" w:pos="1120" w:leader="none"/>
          <w:tab w:val="right" w:pos="978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>
        <w:rPr>
          <w:sz w:val="22"/>
          <w:szCs w:val="22"/>
        </w:rPr>
      </w:r>
      <w:hyperlink w:tooltip="#_Toc54646409" w:anchor="_Toc54646409" w:history="1">
        <w:r>
          <w:rPr>
            <w:rStyle w:val="1151"/>
            <w:iCs/>
            <w:sz w:val="22"/>
            <w:szCs w:val="22"/>
          </w:rPr>
          <w:t xml:space="preserve">2.2.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151"/>
            <w:sz w:val="22"/>
            <w:szCs w:val="22"/>
          </w:rPr>
          <w:t xml:space="preserve">Требования к качеству работ</w:t>
        </w:r>
        <w:r>
          <w:rPr>
            <w:sz w:val="22"/>
            <w:szCs w:val="22"/>
          </w:rPr>
          <w:tab/>
        </w:r>
      </w:hyperlink>
      <w:r>
        <w:rPr>
          <w:sz w:val="22"/>
          <w:szCs w:val="22"/>
        </w:rPr>
        <w:t xml:space="preserve">6</w:t>
      </w:r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150"/>
        <w:ind w:firstLine="567"/>
        <w:tabs>
          <w:tab w:val="right" w:pos="978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sz w:val="22"/>
          <w:szCs w:val="22"/>
        </w:rPr>
      </w:r>
      <w:hyperlink w:tooltip="#_Toc54646410" w:anchor="_Toc54646410" w:history="1">
        <w:r>
          <w:rPr>
            <w:rStyle w:val="1151"/>
            <w:sz w:val="22"/>
            <w:szCs w:val="22"/>
          </w:rPr>
          <w:t xml:space="preserve">Таблица 4. Требования к качеству работ</w:t>
        </w:r>
        <w:r>
          <w:rPr>
            <w:sz w:val="22"/>
            <w:szCs w:val="22"/>
          </w:rPr>
          <w:tab/>
        </w:r>
      </w:hyperlink>
      <w:r>
        <w:rPr>
          <w:sz w:val="22"/>
          <w:szCs w:val="22"/>
        </w:rPr>
        <w:t xml:space="preserve">6</w:t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150"/>
        <w:tabs>
          <w:tab w:val="left" w:pos="560" w:leader="none"/>
          <w:tab w:val="right" w:pos="978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sz w:val="22"/>
          <w:szCs w:val="22"/>
        </w:rPr>
      </w:r>
      <w:hyperlink w:tooltip="#_Toc54646411" w:anchor="_Toc54646411" w:history="1">
        <w:r>
          <w:rPr>
            <w:rStyle w:val="1151"/>
            <w:sz w:val="22"/>
            <w:szCs w:val="22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1151"/>
            <w:sz w:val="22"/>
            <w:szCs w:val="22"/>
          </w:rPr>
          <w:t xml:space="preserve">Требования к документации по ценообразованию на этапе закупки</w:t>
        </w:r>
        <w:r>
          <w:rPr>
            <w:sz w:val="22"/>
            <w:szCs w:val="22"/>
          </w:rPr>
          <w:tab/>
          <w:t xml:space="preserve">1</w:t>
        </w:r>
      </w:hyperlink>
      <w:r>
        <w:rPr>
          <w:sz w:val="22"/>
          <w:szCs w:val="22"/>
        </w:rPr>
        <w:t xml:space="preserve">3</w:t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150"/>
        <w:tabs>
          <w:tab w:val="left" w:pos="560" w:leader="none"/>
          <w:tab w:val="right" w:pos="978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sz w:val="22"/>
          <w:szCs w:val="22"/>
        </w:rPr>
      </w:r>
      <w:hyperlink w:tooltip="#_Toc54646412" w:anchor="_Toc54646412" w:history="1">
        <w:r>
          <w:rPr>
            <w:rStyle w:val="1151"/>
            <w:sz w:val="22"/>
            <w:szCs w:val="22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1151"/>
            <w:sz w:val="22"/>
            <w:szCs w:val="22"/>
          </w:rPr>
          <w:t xml:space="preserve">Требования к документации по ценообразованию на этапе заключения (исполнения) договора</w:t>
        </w:r>
        <w:r>
          <w:rPr>
            <w:sz w:val="22"/>
            <w:szCs w:val="22"/>
          </w:rPr>
          <w:tab/>
          <w:t xml:space="preserve">1</w:t>
        </w:r>
      </w:hyperlink>
      <w:r>
        <w:rPr>
          <w:sz w:val="22"/>
          <w:szCs w:val="22"/>
        </w:rPr>
        <w:t xml:space="preserve">3</w:t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150"/>
        <w:tabs>
          <w:tab w:val="left" w:pos="560" w:leader="none"/>
          <w:tab w:val="right" w:pos="978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sz w:val="22"/>
          <w:szCs w:val="22"/>
        </w:rPr>
      </w:r>
      <w:hyperlink w:tooltip="#_Toc54646413" w:anchor="_Toc54646413" w:history="1">
        <w:r>
          <w:rPr>
            <w:rStyle w:val="1151"/>
            <w:sz w:val="22"/>
            <w:szCs w:val="22"/>
          </w:rPr>
          <w:t xml:space="preserve">5.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1151"/>
            <w:iCs/>
            <w:sz w:val="22"/>
            <w:szCs w:val="22"/>
          </w:rPr>
          <w:t xml:space="preserve">Приложения</w:t>
        </w:r>
        <w:r>
          <w:rPr>
            <w:sz w:val="22"/>
            <w:szCs w:val="22"/>
          </w:rPr>
          <w:tab/>
          <w:t xml:space="preserve">1</w:t>
        </w:r>
      </w:hyperlink>
      <w:r>
        <w:rPr>
          <w:sz w:val="22"/>
          <w:szCs w:val="22"/>
        </w:rPr>
        <w:t xml:space="preserve">4</w:t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150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i/>
          <w:sz w:val="22"/>
          <w:szCs w:val="22"/>
        </w:rPr>
      </w:pPr>
      <w:r>
        <w:rPr>
          <w:rFonts w:cstheme="majorHAnsi"/>
          <w:b/>
          <w:i/>
          <w:sz w:val="22"/>
          <w:szCs w:val="22"/>
        </w:rPr>
        <w:fldChar w:fldCharType="end"/>
      </w:r>
      <w:r>
        <w:rPr>
          <w:rFonts w:eastAsia="Calibri"/>
          <w:b/>
          <w:i/>
          <w:sz w:val="22"/>
          <w:szCs w:val="22"/>
        </w:rPr>
      </w:r>
      <w:r>
        <w:rPr>
          <w:rFonts w:eastAsia="Calibri"/>
          <w:b/>
          <w:i/>
          <w:sz w:val="22"/>
          <w:szCs w:val="22"/>
        </w:rPr>
      </w:r>
    </w:p>
    <w:p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br w:type="page" w:clear="all"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64"/>
        <w:ind w:left="357" w:hanging="357"/>
        <w:jc w:val="center"/>
        <w:keepLines/>
        <w:rPr>
          <w:caps/>
          <w:sz w:val="22"/>
          <w:szCs w:val="22"/>
        </w:rPr>
      </w:pPr>
      <w:r>
        <w:rPr>
          <w:sz w:val="22"/>
          <w:szCs w:val="22"/>
        </w:rPr>
      </w:r>
      <w:bookmarkStart w:id="0" w:name="_Toc51339692"/>
      <w:r>
        <w:rPr>
          <w:sz w:val="22"/>
          <w:szCs w:val="22"/>
        </w:rPr>
      </w:r>
      <w:bookmarkStart w:id="1" w:name="_Toc54646395"/>
      <w:r>
        <w:rPr>
          <w:sz w:val="22"/>
          <w:szCs w:val="22"/>
        </w:rPr>
        <w:t xml:space="preserve">Общие сведения</w:t>
      </w:r>
      <w:bookmarkEnd w:id="0"/>
      <w:r>
        <w:rPr>
          <w:sz w:val="22"/>
          <w:szCs w:val="22"/>
        </w:rPr>
      </w:r>
      <w:bookmarkEnd w:id="1"/>
      <w:r>
        <w:rPr>
          <w:caps/>
          <w:sz w:val="22"/>
          <w:szCs w:val="22"/>
        </w:rPr>
      </w:r>
      <w:r>
        <w:rPr>
          <w:caps/>
          <w:sz w:val="22"/>
          <w:szCs w:val="22"/>
        </w:rPr>
      </w:r>
    </w:p>
    <w:p>
      <w:pPr>
        <w:pStyle w:val="967"/>
        <w:rPr>
          <w:sz w:val="22"/>
          <w:szCs w:val="22"/>
        </w:rPr>
      </w:pPr>
      <w:r>
        <w:rPr>
          <w:sz w:val="22"/>
          <w:szCs w:val="22"/>
        </w:rPr>
      </w:r>
      <w:bookmarkStart w:id="2" w:name="_Toc46743505"/>
      <w:r>
        <w:rPr>
          <w:sz w:val="22"/>
          <w:szCs w:val="22"/>
        </w:rPr>
      </w:r>
      <w:bookmarkStart w:id="3" w:name="_Toc54646396"/>
      <w:r>
        <w:rPr>
          <w:sz w:val="22"/>
          <w:szCs w:val="22"/>
        </w:rPr>
        <w:t xml:space="preserve">Обозначения и сокращения</w:t>
      </w:r>
      <w:bookmarkEnd w:id="2"/>
      <w:r>
        <w:rPr>
          <w:sz w:val="22"/>
          <w:szCs w:val="22"/>
        </w:rPr>
      </w:r>
      <w:bookmarkEnd w:id="3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rStyle w:val="1160"/>
          <w:b w:val="0"/>
          <w:bCs/>
          <w:iCs/>
          <w:sz w:val="22"/>
          <w:szCs w:val="22"/>
        </w:rPr>
      </w:pPr>
      <w:r>
        <w:rPr>
          <w:b w:val="0"/>
          <w:bCs/>
          <w:iCs/>
          <w:sz w:val="22"/>
          <w:szCs w:val="22"/>
        </w:rPr>
      </w:r>
      <w:r>
        <w:rPr>
          <w:rStyle w:val="1160"/>
          <w:b w:val="0"/>
          <w:bCs/>
          <w:iCs/>
          <w:sz w:val="22"/>
          <w:szCs w:val="22"/>
        </w:rPr>
      </w:r>
      <w:r>
        <w:rPr>
          <w:rStyle w:val="1160"/>
          <w:b w:val="0"/>
          <w:bCs/>
          <w:iCs/>
          <w:sz w:val="22"/>
          <w:szCs w:val="22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160"/>
                <w:b w:val="0"/>
                <w:bCs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ТТ</w:t>
            </w:r>
            <w:r>
              <w:rPr>
                <w:rStyle w:val="1160"/>
                <w:b w:val="0"/>
                <w:bCs/>
                <w:iCs/>
                <w:sz w:val="22"/>
                <w:szCs w:val="22"/>
              </w:rPr>
            </w:r>
            <w:r>
              <w:rPr>
                <w:rStyle w:val="1160"/>
                <w:b w:val="0"/>
                <w:bCs/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160"/>
                <w:b w:val="0"/>
                <w:bCs/>
                <w:i w:val="0"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Технические требования</w:t>
            </w:r>
            <w:r>
              <w:rPr>
                <w:rStyle w:val="1160"/>
                <w:b w:val="0"/>
                <w:bCs/>
                <w:i w:val="0"/>
                <w:iCs/>
                <w:sz w:val="22"/>
                <w:szCs w:val="22"/>
              </w:rPr>
            </w:r>
            <w:r>
              <w:rPr>
                <w:rStyle w:val="1160"/>
                <w:b w:val="0"/>
                <w:bCs/>
                <w:i w:val="0"/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НТД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Нормативно-техническая документация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СП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Свод правил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СТО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Стандарт организации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РД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Рабочая документация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СНиП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Строительные нормы и правила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СО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Стандарт организации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jc w:val="center"/>
          <w:trHeight w:val="396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ППР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Проект производства работ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trHeight w:val="396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ВОР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Ведомость объемов работ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trHeight w:val="396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  <w:t xml:space="preserve">НГВК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  <w:r>
              <w:rPr>
                <w:sz w:val="24"/>
                <w:szCs w:val="24"/>
              </w:rPr>
              <w:t xml:space="preserve">Нерюнгринская городская водогрейная котельная.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67"/>
        <w:rPr>
          <w:sz w:val="22"/>
          <w:szCs w:val="22"/>
        </w:rPr>
      </w:pPr>
      <w:r>
        <w:rPr>
          <w:sz w:val="22"/>
          <w:szCs w:val="22"/>
        </w:rPr>
      </w:r>
      <w:bookmarkStart w:id="4" w:name="_Toc54646397"/>
      <w:r>
        <w:rPr>
          <w:sz w:val="22"/>
          <w:szCs w:val="22"/>
        </w:rPr>
        <w:t xml:space="preserve">Наименование закупаемой продукции</w:t>
      </w:r>
      <w:bookmarkEnd w:id="4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rFonts w:eastAsia="Calibri"/>
          <w:i w:val="0"/>
          <w:iCs w:val="0"/>
          <w:sz w:val="24"/>
          <w:szCs w:val="24"/>
        </w:rPr>
      </w:pPr>
      <w:r>
        <w:rPr>
          <w:rFonts w:eastAsia="Calibri"/>
          <w:i w:val="0"/>
          <w:iCs w:val="0"/>
          <w:sz w:val="24"/>
          <w:szCs w:val="24"/>
        </w:rPr>
        <w:tab/>
        <w:t xml:space="preserve">«</w:t>
      </w:r>
      <w:r>
        <w:rPr>
          <w:i w:val="0"/>
          <w:iCs w:val="0"/>
          <w:color w:val="000000"/>
          <w:sz w:val="22"/>
        </w:rPr>
        <w:t xml:space="preserve">ОКПД2 43.12.11.190 </w:t>
      </w:r>
      <w:r>
        <w:rPr>
          <w:rFonts w:eastAsia="Calibri"/>
          <w:sz w:val="24"/>
          <w:szCs w:val="24"/>
        </w:rPr>
        <w:t xml:space="preserve">Выполнение работ</w:t>
      </w:r>
      <w:r>
        <w:rPr>
          <w:i w:val="0"/>
          <w:iCs w:val="0"/>
          <w:color w:val="000000"/>
          <w:sz w:val="22"/>
        </w:rPr>
        <w:t xml:space="preserve"> по чистке чаши шлакозолоотвалов Чульманской ТЭЦ, пос. Чульман и НГВК, г. Нерюнгри</w:t>
      </w:r>
      <w:r>
        <w:rPr>
          <w:rFonts w:eastAsia="Calibri"/>
          <w:i w:val="0"/>
          <w:iCs w:val="0"/>
          <w:sz w:val="24"/>
          <w:szCs w:val="24"/>
        </w:rPr>
        <w:t xml:space="preserve">»</w:t>
      </w:r>
      <w:r>
        <w:rPr>
          <w:rFonts w:eastAsia="Calibri"/>
          <w:i w:val="0"/>
          <w:iCs w:val="0"/>
          <w:sz w:val="24"/>
          <w:szCs w:val="24"/>
        </w:rPr>
        <w:t xml:space="preserve"> </w:t>
      </w:r>
      <w:r>
        <w:rPr>
          <w:rFonts w:eastAsia="Calibri"/>
          <w:i w:val="0"/>
          <w:iCs w:val="0"/>
          <w:sz w:val="24"/>
          <w:szCs w:val="24"/>
        </w:rPr>
      </w:r>
      <w:r>
        <w:rPr>
          <w:rFonts w:eastAsia="Calibri"/>
          <w:i w:val="0"/>
          <w:iCs w:val="0"/>
          <w:sz w:val="24"/>
          <w:szCs w:val="24"/>
        </w:rPr>
      </w:r>
    </w:p>
    <w:p>
      <w:pPr>
        <w:pStyle w:val="967"/>
        <w:rPr>
          <w:rStyle w:val="1160"/>
          <w:b/>
          <w:sz w:val="22"/>
          <w:szCs w:val="22"/>
        </w:rPr>
      </w:pPr>
      <w:r>
        <w:rPr>
          <w:sz w:val="22"/>
          <w:szCs w:val="22"/>
        </w:rPr>
        <w:t xml:space="preserve">Цель </w:t>
      </w:r>
      <w:r>
        <w:rPr>
          <w:sz w:val="22"/>
          <w:szCs w:val="22"/>
        </w:rPr>
        <w:t xml:space="preserve">выполнения работ </w:t>
      </w:r>
      <w:r>
        <w:rPr>
          <w:rStyle w:val="1160"/>
          <w:b/>
          <w:sz w:val="22"/>
          <w:szCs w:val="22"/>
        </w:rPr>
      </w:r>
      <w:r>
        <w:rPr>
          <w:rStyle w:val="1160"/>
          <w:b/>
          <w:sz w:val="22"/>
          <w:szCs w:val="22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rFonts w:eastAsia="Calibri"/>
          <w:sz w:val="22"/>
          <w:szCs w:val="22"/>
          <w:highlight w:val="white"/>
        </w:rPr>
      </w:pPr>
      <w:r>
        <w:rPr>
          <w:rFonts w:eastAsia="Calibri"/>
          <w:sz w:val="22"/>
          <w:szCs w:val="22"/>
          <w:highlight w:val="white"/>
        </w:rPr>
        <w:tab/>
      </w:r>
      <w:r>
        <w:rPr>
          <w:rFonts w:eastAsia="Calibri"/>
          <w:sz w:val="22"/>
          <w:szCs w:val="22"/>
          <w:highlight w:val="white"/>
        </w:rPr>
        <w:t xml:space="preserve">Целью работы  является освобождение заполненных объемов шлакозолоотвалов НГВК г. Нерюнгри и Чульманской ТЭЦ, пос. Чульман, образование свободной ёмкости шлакозолоотвала для недопущения аварийных ситуаций. Вывоз в объеме НГВК 27 000 м</w:t>
      </w:r>
      <w:r>
        <w:rPr>
          <w:rFonts w:eastAsia="Calibri"/>
          <w:sz w:val="22"/>
          <w:szCs w:val="22"/>
          <w:highlight w:val="white"/>
          <w:vertAlign w:val="superscript"/>
        </w:rPr>
        <w:t xml:space="preserve">3</w:t>
      </w:r>
      <w:r>
        <w:rPr>
          <w:rFonts w:eastAsia="Calibri"/>
          <w:sz w:val="22"/>
          <w:szCs w:val="22"/>
          <w:highlight w:val="white"/>
        </w:rPr>
        <w:t xml:space="preserve"> и  ЧТЭЦ в объеме 45 000 </w:t>
      </w:r>
      <w:r>
        <w:rPr>
          <w:rFonts w:eastAsia="Calibri"/>
          <w:sz w:val="22"/>
          <w:szCs w:val="22"/>
          <w:highlight w:val="white"/>
        </w:rPr>
        <w:t xml:space="preserve">м</w:t>
      </w:r>
      <w:r>
        <w:rPr>
          <w:rFonts w:eastAsia="Calibri"/>
          <w:sz w:val="22"/>
          <w:szCs w:val="22"/>
          <w:highlight w:val="white"/>
          <w:vertAlign w:val="superscript"/>
        </w:rPr>
        <w:t xml:space="preserve">3</w:t>
      </w:r>
      <w:r>
        <w:rPr>
          <w:rFonts w:eastAsia="Calibri"/>
          <w:sz w:val="22"/>
          <w:szCs w:val="22"/>
          <w:highlight w:val="white"/>
        </w:rPr>
        <w:t xml:space="preserve">  </w:t>
      </w:r>
      <w:r>
        <w:rPr>
          <w:rFonts w:eastAsia="Calibri"/>
          <w:sz w:val="22"/>
          <w:szCs w:val="22"/>
          <w:highlight w:val="white"/>
        </w:rPr>
      </w:r>
      <w:r>
        <w:rPr>
          <w:rFonts w:eastAsia="Calibri"/>
          <w:sz w:val="22"/>
          <w:szCs w:val="22"/>
          <w:highlight w:val="white"/>
        </w:rPr>
      </w:r>
    </w:p>
    <w:p>
      <w:pPr>
        <w:pStyle w:val="964"/>
        <w:numPr>
          <w:ilvl w:val="0"/>
          <w:numId w:val="0"/>
        </w:numPr>
        <w:keepLines/>
        <w:spacing w:before="240"/>
        <w:rPr>
          <w:sz w:val="22"/>
          <w:szCs w:val="22"/>
        </w:rPr>
      </w:pPr>
      <w:r>
        <w:rPr>
          <w:sz w:val="22"/>
          <w:szCs w:val="22"/>
        </w:rPr>
      </w:r>
      <w:bookmarkStart w:id="7" w:name="_Таблица_1."/>
      <w:r>
        <w:rPr>
          <w:sz w:val="22"/>
          <w:szCs w:val="22"/>
        </w:rPr>
      </w:r>
      <w:bookmarkStart w:id="8" w:name="_Toc54646400"/>
      <w:r>
        <w:rPr>
          <w:sz w:val="22"/>
          <w:szCs w:val="22"/>
        </w:rPr>
      </w:r>
      <w:bookmarkEnd w:id="7"/>
      <w:r>
        <w:rPr>
          <w:sz w:val="22"/>
          <w:szCs w:val="22"/>
        </w:rPr>
        <w:t xml:space="preserve">Таблица 1. Перечень объектов заказчика</w:t>
      </w:r>
      <w:bookmarkEnd w:id="8"/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988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00" w:firstRow="0" w:lastRow="0" w:firstColumn="0" w:lastColumn="0" w:noHBand="0" w:noVBand="0"/>
      </w:tblPr>
      <w:tblGrid>
        <w:gridCol w:w="793"/>
        <w:gridCol w:w="2519"/>
        <w:gridCol w:w="2616"/>
        <w:gridCol w:w="2416"/>
        <w:gridCol w:w="1545"/>
      </w:tblGrid>
      <w:tr>
        <w:tblPrEx/>
        <w:trPr>
          <w:jc w:val="center"/>
        </w:trPr>
        <w:tc>
          <w:tcPr>
            <w:tcW w:w="793" w:type="dxa"/>
            <w:textDirection w:val="lrTb"/>
            <w:noWrap w:val="false"/>
          </w:tcPr>
          <w:p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19" w:type="dxa"/>
            <w:textDirection w:val="lrTb"/>
            <w:noWrap w:val="false"/>
          </w:tcPr>
          <w:p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16" w:type="dxa"/>
            <w:textDirection w:val="lrTb"/>
            <w:noWrap w:val="false"/>
          </w:tcPr>
          <w:p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объекта </w:t>
            </w:r>
            <w:r>
              <w:rPr>
                <w:sz w:val="22"/>
                <w:szCs w:val="22"/>
              </w:rPr>
              <w:br/>
            </w:r>
            <w:r>
              <w:rPr>
                <w:i/>
                <w:iCs/>
                <w:sz w:val="22"/>
                <w:szCs w:val="22"/>
              </w:rPr>
              <w:t xml:space="preserve">(место производства работ)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16" w:type="dxa"/>
            <w:textDirection w:val="lrTb"/>
            <w:noWrap w:val="false"/>
          </w:tcPr>
          <w:p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основного средства </w:t>
            </w:r>
            <w:r>
              <w:rPr>
                <w:sz w:val="22"/>
                <w:szCs w:val="22"/>
              </w:rPr>
              <w:br/>
              <w:t xml:space="preserve">(в отношении которого выполняются работы)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545" w:type="dxa"/>
            <w:textDirection w:val="lrTb"/>
            <w:noWrap w:val="false"/>
          </w:tcPr>
          <w:p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793" w:type="dxa"/>
            <w:textDirection w:val="lrTb"/>
            <w:noWrap w:val="false"/>
          </w:tcPr>
          <w:p>
            <w:pPr>
              <w:keepNext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19" w:type="dxa"/>
            <w:textDirection w:val="lrTb"/>
            <w:noWrap w:val="false"/>
          </w:tcPr>
          <w:p>
            <w:pPr>
              <w:keepNext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16" w:type="dxa"/>
            <w:textDirection w:val="lrTb"/>
            <w:noWrap w:val="false"/>
          </w:tcPr>
          <w:p>
            <w:pPr>
              <w:keepNext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16" w:type="dxa"/>
            <w:textDirection w:val="lrTb"/>
            <w:noWrap w:val="false"/>
          </w:tcPr>
          <w:p>
            <w:pPr>
              <w:keepNext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545" w:type="dxa"/>
            <w:textDirection w:val="lrTb"/>
            <w:noWrap w:val="false"/>
          </w:tcPr>
          <w:p>
            <w:pPr>
              <w:keepNext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  <w:trHeight w:val="1753"/>
        </w:trPr>
        <w:tc>
          <w:tcPr>
            <w:tcW w:w="793" w:type="dxa"/>
            <w:textDirection w:val="lrTb"/>
            <w:noWrap w:val="false"/>
          </w:tcPr>
          <w:p>
            <w:r>
              <w:t xml:space="preserve">1.</w:t>
            </w:r>
            <w:r/>
          </w:p>
        </w:tc>
        <w:tc>
          <w:tcPr>
            <w:shd w:val="clear" w:color="ffffff" w:fill="ffffff"/>
            <w:tcW w:w="2519" w:type="dxa"/>
            <w:textDirection w:val="lrTb"/>
            <w:noWrap w:val="false"/>
          </w:tcPr>
          <w:p>
            <w:pPr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color w:val="000000"/>
                <w:sz w:val="22"/>
              </w:rPr>
            </w:r>
            <w:r>
              <w:rPr>
                <w:i w:val="0"/>
                <w:iCs w:val="0"/>
                <w:color w:val="000000"/>
                <w:sz w:val="22"/>
              </w:rPr>
              <w:t xml:space="preserve">ОКПД2 43.12.11.190 </w:t>
            </w:r>
            <w:r>
              <w:rPr>
                <w:rFonts w:eastAsia="Calibri"/>
                <w:sz w:val="24"/>
                <w:szCs w:val="24"/>
              </w:rPr>
              <w:t xml:space="preserve">Выполнение работ</w:t>
            </w:r>
            <w:r>
              <w:rPr>
                <w:i w:val="0"/>
                <w:iCs w:val="0"/>
                <w:color w:val="000000"/>
                <w:sz w:val="22"/>
              </w:rPr>
              <w:t xml:space="preserve"> по чистке чаши шлакозолоотвалов Чульманской ТЭЦ, пос. Чульман и НГВК, г. Нерюнгри</w:t>
            </w:r>
            <w:r>
              <w:rPr>
                <w:i w:val="0"/>
                <w:iCs w:val="0"/>
                <w:color w:val="000000"/>
                <w:sz w:val="22"/>
              </w:rPr>
              <w:t xml:space="preserve"> 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2616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Структурное подразделение «Нерюнгринс-кая ГРЭС» Российская Федерация, Республика Саха (Якутия), Нерюнгринский район, г. Нерюнгри, п. Чульман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1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Золошлакоотвал(НГВК),   Инвентарный номер №H0200021;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Золошлакоотвал 3-я очередь (ЧТЭЦ),   Инвентарный номер №H0000216;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1545" w:type="dxa"/>
            <w:textDirection w:val="lrTb"/>
            <w:noWrap w:val="false"/>
          </w:tcPr>
          <w:p>
            <w:r/>
            <w:r/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64"/>
        <w:ind w:left="357" w:hanging="357"/>
        <w:jc w:val="center"/>
        <w:keepLines/>
        <w:rPr>
          <w:iCs/>
          <w:caps/>
          <w:sz w:val="22"/>
          <w:szCs w:val="22"/>
        </w:rPr>
      </w:pPr>
      <w:r>
        <w:rPr>
          <w:iCs/>
          <w:sz w:val="22"/>
          <w:szCs w:val="22"/>
        </w:rPr>
        <w:t xml:space="preserve">Требования к продукции</w:t>
      </w:r>
      <w:r>
        <w:rPr>
          <w:iCs/>
          <w:caps/>
          <w:sz w:val="22"/>
          <w:szCs w:val="22"/>
        </w:rPr>
      </w:r>
      <w:r>
        <w:rPr>
          <w:iCs/>
          <w:caps/>
          <w:sz w:val="22"/>
          <w:szCs w:val="22"/>
        </w:rPr>
      </w:r>
    </w:p>
    <w:p>
      <w:pPr>
        <w:pStyle w:val="967"/>
        <w:rPr>
          <w:sz w:val="22"/>
          <w:szCs w:val="22"/>
        </w:rPr>
      </w:pPr>
      <w:r>
        <w:rPr>
          <w:sz w:val="22"/>
          <w:szCs w:val="22"/>
        </w:rPr>
      </w:r>
      <w:bookmarkStart w:id="13" w:name="_Toc54646404"/>
      <w:r>
        <w:rPr>
          <w:sz w:val="22"/>
          <w:szCs w:val="22"/>
        </w:rPr>
        <w:t xml:space="preserve">Требования к объемам и срокам выполнения работ</w:t>
      </w:r>
      <w:bookmarkEnd w:id="13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66"/>
        <w:rPr>
          <w:sz w:val="22"/>
          <w:szCs w:val="22"/>
        </w:rPr>
      </w:pPr>
      <w:r>
        <w:rPr>
          <w:sz w:val="22"/>
          <w:szCs w:val="22"/>
        </w:rPr>
      </w:r>
      <w:bookmarkStart w:id="14" w:name="_Toc54646405"/>
      <w:r>
        <w:rPr>
          <w:sz w:val="22"/>
          <w:szCs w:val="22"/>
        </w:rPr>
        <w:t xml:space="preserve">Требования к видам и объемам работ</w:t>
      </w:r>
      <w:bookmarkEnd w:id="14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64"/>
        <w:numPr>
          <w:ilvl w:val="0"/>
          <w:numId w:val="0"/>
        </w:numPr>
        <w:keepLines/>
        <w:spacing w:before="24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bookmarkStart w:id="15" w:name="_Toc51339695"/>
      <w:r>
        <w:rPr>
          <w:sz w:val="22"/>
          <w:szCs w:val="22"/>
          <w:highlight w:val="white"/>
        </w:rPr>
      </w:r>
      <w:bookmarkStart w:id="16" w:name="_Toc54646406"/>
      <w:r>
        <w:rPr>
          <w:sz w:val="22"/>
          <w:szCs w:val="22"/>
          <w:highlight w:val="white"/>
        </w:rPr>
        <w:t xml:space="preserve">Таблица 2. Перечень </w:t>
      </w:r>
      <w:bookmarkEnd w:id="15"/>
      <w:r>
        <w:rPr>
          <w:sz w:val="22"/>
          <w:szCs w:val="22"/>
          <w:highlight w:val="white"/>
        </w:rPr>
        <w:t xml:space="preserve">и объем выполняемых работ</w:t>
      </w:r>
      <w:bookmarkEnd w:id="16"/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r/>
      <w:r/>
    </w:p>
    <w:p>
      <w:r/>
      <w:r/>
    </w:p>
    <w:p>
      <w:r/>
      <w:r/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4849"/>
        <w:gridCol w:w="2127"/>
        <w:gridCol w:w="2126"/>
      </w:tblGrid>
      <w:tr>
        <w:tblPrEx/>
        <w:trPr/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№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center"/>
              <w:keepNext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п/п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484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Наименование работ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Единица измерения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Количество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08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1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2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3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4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08" w:type="dxa"/>
            <w:textDirection w:val="lrTb"/>
            <w:noWrap w:val="false"/>
          </w:tcPr>
          <w:p>
            <w:pPr>
              <w:pStyle w:val="1163"/>
              <w:numPr>
                <w:ilvl w:val="0"/>
                <w:numId w:val="4"/>
              </w:num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rPr>
                <w:bCs w:val="0"/>
                <w:i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4"/>
                <w:szCs w:val="24"/>
              </w:rPr>
              <w:t xml:space="preserve">Выполнение работ</w:t>
            </w:r>
            <w:r>
              <w:rPr>
                <w:i w:val="0"/>
                <w:iCs w:val="0"/>
                <w:color w:val="000000"/>
                <w:sz w:val="22"/>
              </w:rPr>
              <w:t xml:space="preserve"> по чистке чаши шлакозолоотвалов Чульманской ТЭЦ, пос. Чульман и НГВК, г. Нерюнгри</w:t>
            </w:r>
            <w:r>
              <w:rPr>
                <w:i w:val="0"/>
                <w:iCs w:val="0"/>
                <w:color w:val="000000"/>
                <w:sz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bCs w:val="0"/>
                <w:i w:val="0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i w:val="0"/>
                <w:iCs w:val="0"/>
                <w:color w:val="000000"/>
                <w:sz w:val="22"/>
                <w:highlight w:val="none"/>
              </w:rPr>
            </w:r>
            <w:r>
              <w:rPr>
                <w:i w:val="0"/>
                <w:iCs w:val="0"/>
                <w:color w:val="000000"/>
                <w:sz w:val="22"/>
                <w:highlight w:val="none"/>
              </w:rPr>
            </w:r>
          </w:p>
        </w:tc>
        <w:tc>
          <w:tcPr>
            <w:gridSpan w:val="2"/>
            <w:tcW w:w="425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В соответствии с ведомостью объемов работ (Приложение №2 к настоящим ТТ)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</w:tbl>
    <w:p>
      <w:pPr>
        <w:pStyle w:val="966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Требования </w:t>
      </w:r>
      <w:r>
        <w:rPr>
          <w:sz w:val="22"/>
          <w:szCs w:val="22"/>
          <w:highlight w:val="white"/>
        </w:rPr>
        <w:t xml:space="preserve">к срокам выполнения работ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964"/>
        <w:numPr>
          <w:ilvl w:val="0"/>
          <w:numId w:val="0"/>
        </w:numPr>
        <w:keepLines/>
        <w:spacing w:before="24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bookmarkStart w:id="19" w:name="_Toc50125127"/>
      <w:r>
        <w:rPr>
          <w:sz w:val="22"/>
          <w:szCs w:val="22"/>
          <w:highlight w:val="white"/>
        </w:rPr>
      </w:r>
      <w:bookmarkStart w:id="20" w:name="_Toc51339697"/>
      <w:r>
        <w:rPr>
          <w:sz w:val="22"/>
          <w:szCs w:val="22"/>
          <w:highlight w:val="white"/>
        </w:rPr>
      </w:r>
      <w:bookmarkStart w:id="21" w:name="_Toc54646408"/>
      <w:r>
        <w:rPr>
          <w:sz w:val="22"/>
          <w:szCs w:val="22"/>
          <w:highlight w:val="white"/>
        </w:rPr>
        <w:t xml:space="preserve">Таблица 3. </w:t>
      </w:r>
      <w:bookmarkStart w:id="22" w:name="_Hlk50465284"/>
      <w:r>
        <w:rPr>
          <w:sz w:val="22"/>
          <w:szCs w:val="22"/>
          <w:highlight w:val="white"/>
        </w:rPr>
        <w:t xml:space="preserve">Требования по срокам </w:t>
      </w:r>
      <w:bookmarkEnd w:id="19"/>
      <w:r>
        <w:rPr>
          <w:sz w:val="22"/>
          <w:szCs w:val="22"/>
          <w:highlight w:val="white"/>
        </w:rPr>
      </w:r>
      <w:bookmarkEnd w:id="20"/>
      <w:r>
        <w:rPr>
          <w:sz w:val="22"/>
          <w:szCs w:val="22"/>
          <w:highlight w:val="white"/>
        </w:rPr>
      </w:r>
      <w:bookmarkEnd w:id="22"/>
      <w:r>
        <w:rPr>
          <w:sz w:val="22"/>
          <w:szCs w:val="22"/>
          <w:highlight w:val="white"/>
        </w:rPr>
        <w:t xml:space="preserve">выполнения работ</w:t>
      </w:r>
      <w:bookmarkEnd w:id="21"/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tbl>
      <w:tblPr>
        <w:tblW w:w="9781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4110"/>
        <w:gridCol w:w="2835"/>
        <w:gridCol w:w="2157"/>
      </w:tblGrid>
      <w:tr>
        <w:tblPrEx/>
        <w:trPr/>
        <w:tc>
          <w:tcPr>
            <w:shd w:val="clear" w:color="auto" w:fill="auto"/>
            <w:tcW w:w="67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№ п/п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41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Наименование работ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Требования к началу срока выполнения работ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15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Требования к окончанию срока выполнения работ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679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1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4110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5"/>
              <w:jc w:val="center"/>
              <w:keepNext w:val="0"/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3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157" w:type="dxa"/>
            <w:textDirection w:val="lrTb"/>
            <w:noWrap w:val="false"/>
          </w:tcPr>
          <w:p>
            <w:pPr>
              <w:pStyle w:val="1165"/>
              <w:jc w:val="center"/>
              <w:keepNext w:val="0"/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4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679" w:type="dxa"/>
            <w:textDirection w:val="lrTb"/>
            <w:noWrap w:val="false"/>
          </w:tcPr>
          <w:p>
            <w:pPr>
              <w:pStyle w:val="1163"/>
              <w:numPr>
                <w:ilvl w:val="0"/>
                <w:numId w:val="5"/>
              </w:num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4110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4"/>
                <w:szCs w:val="24"/>
              </w:rPr>
              <w:t xml:space="preserve">Выполнение работ</w:t>
            </w:r>
            <w:r>
              <w:rPr>
                <w:i w:val="0"/>
                <w:iCs w:val="0"/>
                <w:color w:val="000000"/>
                <w:sz w:val="22"/>
              </w:rPr>
              <w:t xml:space="preserve"> по чистке чаши шлакозолоотвалов Чульманской ТЭЦ, пос. Чульман и НГВК, г. Нерюнгри</w:t>
            </w:r>
            <w:r>
              <w:rPr>
                <w:i w:val="0"/>
                <w:iCs w:val="0"/>
                <w:color w:val="000000"/>
                <w:sz w:val="22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с даты заключения договора</w:t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  <w:tc>
          <w:tcPr>
            <w:tcW w:w="2157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none"/>
              </w:rPr>
              <w:t xml:space="preserve">31.12.2026 г.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</w:tbl>
    <w:p>
      <w:pPr>
        <w:rPr>
          <w:rFonts w:eastAsia="Calibri"/>
          <w:i/>
          <w:sz w:val="22"/>
          <w:szCs w:val="22"/>
          <w:highlight w:val="white"/>
        </w:rPr>
      </w:pPr>
      <w:r>
        <w:rPr>
          <w:rFonts w:eastAsia="Calibri"/>
          <w:i/>
          <w:sz w:val="22"/>
          <w:szCs w:val="22"/>
          <w:highlight w:val="white"/>
        </w:rPr>
      </w:r>
      <w:r>
        <w:rPr>
          <w:rFonts w:eastAsia="Calibri"/>
          <w:i/>
          <w:sz w:val="22"/>
          <w:szCs w:val="22"/>
          <w:highlight w:val="white"/>
        </w:rPr>
      </w:r>
      <w:r>
        <w:rPr>
          <w:rFonts w:eastAsia="Calibri"/>
          <w:i/>
          <w:sz w:val="22"/>
          <w:szCs w:val="22"/>
          <w:highlight w:val="white"/>
        </w:rPr>
      </w:r>
    </w:p>
    <w:p>
      <w:pPr>
        <w:jc w:val="both"/>
        <w:spacing w:line="360" w:lineRule="auto"/>
        <w:rPr>
          <w:i/>
          <w:sz w:val="22"/>
          <w:szCs w:val="22"/>
          <w:highlight w:val="yellow"/>
        </w:rPr>
        <w:sectPr>
          <w:headerReference w:type="default" r:id="rId9"/>
          <w:headerReference w:type="first" r:id="rId10"/>
          <w:footerReference w:type="default" r:id="rId13"/>
          <w:footnotePr/>
          <w:endnotePr/>
          <w:type w:val="nextPage"/>
          <w:pgSz w:w="11906" w:h="16838" w:orient="portrait"/>
          <w:pgMar w:top="851" w:right="850" w:bottom="396" w:left="1276" w:header="426" w:footer="74" w:gutter="0"/>
          <w:cols w:num="1" w:sep="0" w:space="708" w:equalWidth="1"/>
          <w:docGrid w:linePitch="360"/>
        </w:sectPr>
      </w:pPr>
      <w:r>
        <w:rPr>
          <w:rFonts w:eastAsia="Calibri"/>
          <w:i/>
          <w:sz w:val="22"/>
          <w:szCs w:val="22"/>
          <w:highlight w:val="white"/>
        </w:rPr>
        <w:tab/>
      </w:r>
      <w:r>
        <w:rPr>
          <w:i/>
          <w:sz w:val="22"/>
          <w:szCs w:val="22"/>
          <w:highlight w:val="yellow"/>
        </w:rPr>
      </w:r>
      <w:r>
        <w:rPr>
          <w:i/>
          <w:sz w:val="22"/>
          <w:szCs w:val="22"/>
          <w:highlight w:val="yellow"/>
        </w:rPr>
      </w:r>
    </w:p>
    <w:p>
      <w:pPr>
        <w:pStyle w:val="967"/>
        <w:rPr>
          <w:sz w:val="22"/>
          <w:szCs w:val="22"/>
        </w:rPr>
      </w:pPr>
      <w:r>
        <w:rPr>
          <w:sz w:val="22"/>
          <w:szCs w:val="22"/>
        </w:rPr>
      </w:r>
      <w:bookmarkStart w:id="24" w:name="_Toc51339698"/>
      <w:r>
        <w:rPr>
          <w:sz w:val="22"/>
          <w:szCs w:val="22"/>
        </w:rPr>
      </w:r>
      <w:bookmarkStart w:id="25" w:name="_Toc54646410"/>
      <w:r>
        <w:rPr>
          <w:sz w:val="22"/>
          <w:szCs w:val="22"/>
        </w:rPr>
        <w:t xml:space="preserve">Требования к качеству работ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64"/>
        <w:numPr>
          <w:ilvl w:val="0"/>
          <w:numId w:val="0"/>
        </w:numPr>
        <w:keepLines/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Таблица 4. Требования к </w:t>
      </w:r>
      <w:bookmarkEnd w:id="24"/>
      <w:r>
        <w:rPr>
          <w:sz w:val="22"/>
          <w:szCs w:val="22"/>
        </w:rPr>
        <w:t xml:space="preserve">качеству работ</w:t>
      </w:r>
      <w:bookmarkEnd w:id="25"/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Style w:val="116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"/>
        <w:gridCol w:w="1559"/>
        <w:gridCol w:w="142"/>
        <w:gridCol w:w="7512"/>
        <w:gridCol w:w="2298"/>
        <w:gridCol w:w="2410"/>
      </w:tblGrid>
      <w:tr>
        <w:tblPrEx/>
        <w:trPr/>
        <w:tc>
          <w:tcPr>
            <w:tcW w:w="963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2"/>
            <w:tcW w:w="765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Требование заказчика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2"/>
            <w:tcW w:w="47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Способ подтверждения участником соответствия требованиям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r>
          </w:p>
        </w:tc>
      </w:tr>
      <w:tr>
        <w:tblPrEx/>
        <w:trPr/>
        <w:tc>
          <w:tcPr>
            <w:tcW w:w="963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76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9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Согласие с требованием/ указание характеристик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r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2"/>
            <w:tcW w:w="765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</w:p>
        </w:tc>
        <w:tc>
          <w:tcPr>
            <w:tcW w:w="229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63"/>
              <w:numPr>
                <w:ilvl w:val="0"/>
                <w:numId w:val="6"/>
              </w:numPr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3"/>
            <w:tcW w:w="9213" w:type="dxa"/>
            <w:vAlign w:val="center"/>
            <w:textDirection w:val="lrTb"/>
            <w:noWrap w:val="false"/>
          </w:tcPr>
          <w:p>
            <w:pPr>
              <w:pStyle w:val="1167"/>
              <w:jc w:val="left"/>
              <w:keepNext w:val="0"/>
              <w:spacing w:before="0"/>
              <w:rPr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outlineLvl w:val="2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Требования к выполнению работ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</w:r>
          </w:p>
        </w:tc>
        <w:tc>
          <w:tcPr>
            <w:tcW w:w="229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2"/>
                <w:szCs w:val="22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</w:p>
        </w:tc>
        <w:tc>
          <w:tcPr>
            <w:tcW w:w="24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2"/>
                <w:szCs w:val="22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63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3"/>
            <w:tcW w:w="9213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2"/>
                <w:szCs w:val="22"/>
              </w:rPr>
              <w:t xml:space="preserve">Общие требования к выполнению работ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</w:p>
        </w:tc>
        <w:tc>
          <w:tcPr>
            <w:tcW w:w="229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2"/>
                <w:szCs w:val="22"/>
              </w:rPr>
              <w:t xml:space="preserve">-//-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tcW w:w="241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2"/>
                <w:szCs w:val="22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6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76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При выполнении работ подрядчик должен руководствоваться следующими национальными, отраслевыми и корпоративными НТД: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Правила организации технического обслуживания и ремонта объектов электроэнергетики, утв. Приказом Минэнерго России от 25.10.2017 №1013;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РД 153-34.0-21.601-98 «Типовая инструкция по эксплуатации производственных зданий и сооружений предприятия. Часть 2. Раздел 2. Технология ремонтов зданий и сооружений» (утв.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Департаментом стратегии развития и научно-технической политики РАО "ЕЭС России" от 22.12.1998)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;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СП 78.13330.2012.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Свод правил. Автомобильные дороги. Актуализированная редакция СНиП 3.06.03-85 (утв. п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риказом Минрегиона России от 30.06.2012 № 272)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;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ГОСТ Р 59057-2020 Национальный стандарт Российской Федерации. Охрана окружающей среды. Земли. Общие требования по рекультивации нарушенных земель» (утв.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приказом Росстандарта от 30.09.2020 № 709-ст)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;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color w:val="ff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СТО 70238424.27.100.017-2009 Тепловые электростанции. Ремонт и техническое обслуживание оборудования, зданий и сооружений. Организация производственных процессов. Нормы и требования (утв.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приказом НП "ИНВЭЛ" от 25.08.2009 № 62)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;</w:t>
            </w:r>
            <w:r>
              <w:rPr>
                <w:rFonts w:ascii="Times New Roman" w:hAnsi="Times New Roman" w:cs="Times New Roman"/>
                <w:i w:val="0"/>
                <w:iCs w:val="0"/>
                <w:color w:val="ff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ff000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Положение 21-002-2019 «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Об организации и выполнению технического обслуживания и ремонта оборудования АО «ДГК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, (Приложение №5 к настоящим ТТ);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Техническими условиями, ППР, планом участка очистки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 ЗШО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 (Приложение №4 к настоящим ТТ).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229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shd w:val="clear" w:color="auto" w:fill="auto"/>
            <w:tcW w:w="2410" w:type="dxa"/>
            <w:vMerge w:val="restart"/>
            <w:textDirection w:val="lrTb"/>
            <w:noWrap w:val="false"/>
          </w:tcPr>
          <w:p>
            <w:pPr>
              <w:pStyle w:val="1167"/>
              <w:jc w:val="left"/>
              <w:keepNext w:val="0"/>
              <w:spacing w:before="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outlineLvl w:val="2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63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3"/>
            <w:tcW w:w="9213" w:type="dxa"/>
            <w:vAlign w:val="center"/>
            <w:textDirection w:val="lrTb"/>
            <w:noWrap w:val="false"/>
          </w:tcPr>
          <w:p>
            <w:pPr>
              <w:spacing w:before="60"/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2"/>
                <w:szCs w:val="22"/>
              </w:rPr>
              <w:t xml:space="preserve">Требования к организации работ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0"/>
        </w:trPr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6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ребования к организации процесса выполнения работ: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2"/>
            <w:tcW w:w="7654" w:type="dxa"/>
            <w:textDirection w:val="lrTb"/>
            <w:noWrap w:val="false"/>
          </w:tcPr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Комплекс организационно–технических мероприятий, выполняемы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й при подготовке к работам, должен обеспечивать планомерное и качественное выполнение работ в установленные сроки, оптимальное расходование материально-технических и трудовые ресурсов.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До начала работ Подрядчик обязан: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63"/>
              <w:numPr>
                <w:ilvl w:val="0"/>
                <w:numId w:val="50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Предоставить приказы на ответственных лиц, осуществляющих контроль на объекте по соблюд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ению тех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ники безопасности, охране труда. 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63"/>
              <w:numPr>
                <w:ilvl w:val="0"/>
                <w:numId w:val="50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Проверить выполнение требований допуска ремонтного и командированного персонала, предусмотренного п. 1.2.2 технических требований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63"/>
              <w:numPr>
                <w:ilvl w:val="0"/>
                <w:numId w:val="50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Определить состав бригад (участков)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для выполнения работ по Договору по численности, квалификации и профессиям в соответствии с сетевым графиком работ. При этом должна быть обеспечена полная занятость рабочих в течение установленных графиком сроков производства работ; 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63"/>
              <w:numPr>
                <w:ilvl w:val="0"/>
                <w:numId w:val="50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Назначить руководителей работ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в соответствии с номенклатурой и объемом работ, принятым по договору;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63"/>
              <w:numPr>
                <w:ilvl w:val="0"/>
                <w:numId w:val="50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Назначить лиц, ответственных за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соблюдение норм и правил в области охраны труда, электробезопасности, пожарной и промышленной безопасности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 и материально–техническое обеспечение; 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63"/>
              <w:numPr>
                <w:ilvl w:val="0"/>
                <w:numId w:val="50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Проверить удостоверения по охране труда рабочих и механизаторов, задействованных в выполнении работ на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объекте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;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63"/>
              <w:numPr>
                <w:ilvl w:val="0"/>
                <w:numId w:val="50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Проверяют выполнение требований допуска персонала, предусмотренного п. 1.2.2 технических требований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63"/>
              <w:numPr>
                <w:ilvl w:val="0"/>
                <w:numId w:val="50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разрабатывают и предоставляют Заказчику на согласование ППР с указанием методов и технологии выполнения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работ, организационные вопросы, мероприятия по технике безопасности и охране труда.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83"/>
              </w:numPr>
              <w:rPr>
                <w:sz w:val="20"/>
                <w:szCs w:val="20"/>
                <w:highlight w:val="none"/>
                <w:vertAlign w:val="baseline"/>
              </w:rPr>
            </w:pPr>
            <w:r>
              <w:rPr>
                <w:sz w:val="22"/>
                <w:szCs w:val="22"/>
                <w:highlight w:val="none"/>
                <w:vertAlign w:val="baseline"/>
              </w:rPr>
              <w:t xml:space="preserve">Размещение золошлаковых отходов на специализированном полигоне исполнителя.</w:t>
            </w:r>
            <w:r>
              <w:rPr>
                <w:sz w:val="20"/>
                <w:szCs w:val="20"/>
                <w:highlight w:val="none"/>
                <w:vertAlign w:val="baseline"/>
              </w:rPr>
            </w:r>
            <w:r>
              <w:rPr>
                <w:sz w:val="20"/>
                <w:szCs w:val="20"/>
                <w:highlight w:val="none"/>
                <w:vertAlign w:val="baseline"/>
              </w:rPr>
            </w:r>
          </w:p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Руководители работ подрядных организаций, участвующие в производстве Работ совместно с представителями Заказчика, осуществляют входной контроль качеств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а применяемых материалов, проводят оперативный контроль качества выполняемых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0"/>
        </w:trPr>
        <w:tc>
          <w:tcPr>
            <w:tcW w:w="963" w:type="dxa"/>
            <w:vAlign w:val="center"/>
            <w:vMerge w:val="restart"/>
            <w:textDirection w:val="lrTb"/>
            <w:noWrap w:val="false"/>
          </w:tcPr>
          <w:p>
            <w:pPr>
              <w:pStyle w:val="116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left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14:ligatures w14:val="none"/>
              </w:rPr>
            </w:r>
          </w:p>
        </w:tc>
        <w:tc>
          <w:tcPr>
            <w:gridSpan w:val="2"/>
            <w:tcW w:w="7654" w:type="dxa"/>
            <w:vMerge w:val="restart"/>
            <w:textDirection w:val="lrTb"/>
            <w:noWrap w:val="false"/>
          </w:tcPr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Допуск персонала подрядчика для выполнения работ должен осуществляться в соответствии с: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14:ligatures w14:val="none"/>
              </w:rPr>
            </w:r>
          </w:p>
          <w:p>
            <w:pPr>
              <w:pStyle w:val="1163"/>
              <w:numPr>
                <w:ilvl w:val="0"/>
                <w:numId w:val="52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Положением о допуске персонала подрядных организаций к выполнению работ на объектах АО «ДГК» №22.1-504-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2025 (утверждено приказом АО «ДГК» от 25.09.2025г. №П-ДГК/795)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(Приложение №5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 к настоящим ТТ)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14:ligatures w14:val="none"/>
              </w:rPr>
            </w:r>
          </w:p>
          <w:p>
            <w:pPr>
              <w:pStyle w:val="1163"/>
              <w:numPr>
                <w:ilvl w:val="0"/>
                <w:numId w:val="52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Инструкцией по организации пропускного режима СП Нерюнгринская ГРЭС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(Приложение №5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 к настоящим ТТ).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  <w14:ligatures w14:val="non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9"/>
        </w:trPr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63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3"/>
            <w:tcW w:w="9213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2"/>
                <w:szCs w:val="22"/>
              </w:rPr>
              <w:t xml:space="preserve">Требования к контролю качества материалов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141"/>
        </w:trPr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6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Контроль качества используемых  материалов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2"/>
            <w:tcW w:w="7654" w:type="dxa"/>
            <w:textDirection w:val="lrTb"/>
            <w:noWrap w:val="false"/>
          </w:tcPr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14:ligatures w14:val="none"/>
              </w:rPr>
              <w:pBdr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Подрядчик должен обеспечить входной контроль поступающих для выполнения работ материалов и запасных частей, включающий в себя проверку: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14:ligatures w14:val="none"/>
              </w:rPr>
            </w:r>
          </w:p>
          <w:p>
            <w:pPr>
              <w:pStyle w:val="1163"/>
              <w:numPr>
                <w:ilvl w:val="0"/>
                <w:numId w:val="18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14:ligatures w14:val="none"/>
              </w:rPr>
              <w:pBdr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наличия соответствующих сертификатов;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14:ligatures w14:val="none"/>
              </w:rPr>
            </w:r>
          </w:p>
          <w:p>
            <w:pPr>
              <w:pStyle w:val="1163"/>
              <w:numPr>
                <w:ilvl w:val="0"/>
                <w:numId w:val="18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14:ligatures w14:val="none"/>
              </w:rPr>
              <w:pBdr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наличия и надлежащего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 заполнения документа о качестве и соответствии приведенных в нем данных характеристикам, установленным в нормативном документе, регламентирующем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технические требования к данной продукции.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14:ligatures w14:val="non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vAlign w:val="center"/>
            <w:vMerge w:val="restart"/>
            <w:textDirection w:val="lrTb"/>
            <w:noWrap w:val="false"/>
          </w:tcPr>
          <w:p>
            <w:pPr>
              <w:pStyle w:val="116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Требования к  технике Подрядчика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7654" w:type="dxa"/>
            <w:vMerge w:val="restart"/>
            <w:textDirection w:val="lrTb"/>
            <w:noWrap w:val="false"/>
          </w:tcPr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  <w:pBdr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Минимальное количество техники Подрядчика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необходимые для выполнения работ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по  чистке чаши шлакозолоотвалов Чульманской ТЭЦ, пос. Чульман и НГВК, г. Нерюнгри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: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</w:p>
          <w:p>
            <w:pPr>
              <w:pStyle w:val="1163"/>
              <w:numPr>
                <w:ilvl w:val="0"/>
                <w:numId w:val="79"/>
              </w:numPr>
              <w:ind w:right="0"/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Экскаватор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вместимость ковша 1  (1-1,2) м3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не менее 1 единицы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;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79"/>
              </w:numPr>
              <w:ind w:right="0"/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Бульдозер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мощностью до 243 кВт (330 л.с.)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не менее 1 единицы;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79"/>
              </w:numPr>
              <w:ind w:right="0"/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Автомобиль-с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амосвал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грузоподъёмностью до 15тн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не менее 2 единиц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6"/>
        </w:trPr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6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Требования к контролю качества работ 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2"/>
            <w:tcW w:w="7654" w:type="dxa"/>
            <w:textDirection w:val="lrTb"/>
            <w:noWrap w:val="false"/>
          </w:tcPr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  <w:pBdr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В соответствии с законом № 184-ФЗ «О техническом регулировании» Подрядчик принимает на себя добровольное обязательство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о соблюдении требований правил, технических условий, ГОСТ, ПУЭ и других нормативных технических документов, действующих на момент заключения договора и добровольное обязательство о выполнении работ с качеством, соответствующим вышеперечисленным документам.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  <w:pBdr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До начала работ Подрядчик предоставляет на согласование Заказчику график выполнения работ, технологические карты, проекты производства работ. После окончания работ в срок Подрядчик представляет отчетные документы в объеме и форме определенной Заказчиком.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  <w:pBdr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Контроль за ходом и качеством работ осуществляется как Подрядчиком совместно с Заказчиком.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  <w:pBdr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Заказчик вправе в любое время проверять ход и качество работы, выполняемой Подрядчиком не вмешиваясь в его организационную деятельность.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Заказчик вправе вмешаться в производство работ Подрядчика, если последний: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63"/>
              <w:numPr>
                <w:ilvl w:val="0"/>
                <w:numId w:val="18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своими дей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стви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ями вызвал угрозу нарушения нормальной эксплуатации действующего золоотвала СП Нерюнгринской ГРЭС или нарушает ПТЭ, ПТБ, правила Ростехнадзора РФ, правила противопожарной безопасности или угрозу жизни людей, или угрозу экологической безопасности населения;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63"/>
              <w:numPr>
                <w:ilvl w:val="0"/>
                <w:numId w:val="18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выполняет работы с нарушением согласованного графика, если окончание их в срок невозможно;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63"/>
              <w:numPr>
                <w:ilvl w:val="0"/>
                <w:numId w:val="18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допустил дефекты, которые могут быть скрыты последующими работами;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63"/>
              <w:numPr>
                <w:ilvl w:val="0"/>
                <w:numId w:val="18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не выполняет требования технологической и нормативно-технической документации.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6"/>
        </w:trPr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63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3"/>
            <w:tcW w:w="921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2"/>
                <w:szCs w:val="22"/>
              </w:rPr>
              <w:t xml:space="preserve">Требования к персоналу подрядчика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6"/>
        </w:trPr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6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3"/>
            <w:tcW w:w="9213" w:type="dxa"/>
            <w:vAlign w:val="center"/>
            <w:textDirection w:val="lrTb"/>
            <w:noWrap w:val="false"/>
          </w:tcPr>
          <w:p>
            <w:pPr>
              <w:ind w:right="97" w:firstLine="460"/>
              <w:jc w:val="both"/>
              <w:widowControl w:val="off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Подрядчик должен: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pStyle w:val="1163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Обеспечить наличие допусков, разрешений и лицензий, необходимых для производства Работ.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pStyle w:val="1163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2"/>
                <w:szCs w:val="22"/>
              </w:rPr>
              <w:t xml:space="preserve">В соответствие с установленными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производстве Работ.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pStyle w:val="1163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2"/>
                <w:szCs w:val="22"/>
              </w:rPr>
              <w:t xml:space="preserve">Провести инструктаж персонала, задействованного при производстве Работ, обе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2"/>
                <w:szCs w:val="22"/>
              </w:rPr>
              <w:t xml:space="preserve">спечить соблюдение (в том числе указанным персоналом)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 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pStyle w:val="1163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2"/>
                <w:szCs w:val="22"/>
              </w:rPr>
              <w:t xml:space="preserve">Проводить работы аттестованными и квалифицированными специалист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2"/>
                <w:szCs w:val="22"/>
              </w:rPr>
              <w:t xml:space="preserve">ами рабочих специальностей и ИТР, которые обучены смежным профессиям (стропальщик; землекоп) и иметь удостоверение об обучении смежной профессии в организации, имеющей лицензию и ежегодно проходить проверку знаний.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</w:r>
          </w:p>
          <w:p>
            <w:pPr>
              <w:pStyle w:val="1163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2"/>
                <w:szCs w:val="22"/>
              </w:rPr>
              <w:t xml:space="preserve"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накопления.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63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3"/>
            <w:tcW w:w="9213" w:type="dxa"/>
            <w:vAlign w:val="center"/>
            <w:textDirection w:val="lrTb"/>
            <w:noWrap w:val="false"/>
          </w:tcPr>
          <w:p>
            <w:pPr>
              <w:spacing w:before="60"/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2"/>
                <w:szCs w:val="22"/>
              </w:rPr>
              <w:t xml:space="preserve">Требования к безопасности работ и охране труда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6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before="60" w:after="60"/>
              <w:rPr>
                <w:i w:val="0"/>
                <w:iCs w:val="0"/>
                <w:sz w:val="22"/>
                <w:szCs w:val="22"/>
                <w:highlight w:val="none"/>
              </w:rPr>
              <w:outlineLvl w:val="2"/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eastAsia="Calibri"/>
                <w:i w:val="0"/>
                <w:iCs w:val="0"/>
                <w:sz w:val="22"/>
                <w:szCs w:val="22"/>
                <w:highlight w:val="none"/>
              </w:rPr>
              <w:t xml:space="preserve">Требования к безопасности выполняемых работ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7654" w:type="dxa"/>
            <w:textDirection w:val="lrTb"/>
            <w:noWrap w:val="false"/>
          </w:tcPr>
          <w:p>
            <w:pPr>
              <w:ind w:firstLine="460"/>
              <w:jc w:val="both"/>
              <w:widowControl w:val="off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bCs/>
                <w:i w:val="0"/>
                <w:iCs w:val="0"/>
                <w:sz w:val="22"/>
                <w:szCs w:val="22"/>
                <w:highlight w:val="none"/>
              </w:rPr>
              <w:t xml:space="preserve">Меры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62"/>
              </w:numPr>
              <w:ind w:left="142" w:right="0" w:firstLine="207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СО34.03.201-97 (РД 34.03.201-97) Правила техники безопасности при эксплуатации тепломеханического оборудования электростанци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й и тепловых сетей;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62"/>
              </w:numPr>
              <w:ind w:left="142" w:right="0" w:firstLine="207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СП 49.13330.2010 «Безопасность труда в строительстве» Часть 1. Общие требования. Приняты и введены в действие Постановлением Госстроя РФ от 23.07.2001 г. №80;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62"/>
              </w:numPr>
              <w:ind w:left="142" w:right="0" w:firstLine="207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СНиП 12-04-2002 «Безопасность труда в строительстве» Часть 2. Строительное производство». Приняты и введены в действие Постановлением Госстроя РФ от 17.09.2002 г. №123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.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66"/>
              </w:numPr>
              <w:ind w:left="0" w:firstLine="349"/>
              <w:jc w:val="both"/>
              <w:rPr>
                <w:i w:val="0"/>
                <w:iCs w:val="0"/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ТР 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ТС 010/2011 Технический регламент Таможенного союза "О безопасности машин и оборудования" 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от 18.10.2011 № 010/2011.</w:t>
            </w:r>
            <w:r>
              <w:rPr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63"/>
              <w:numPr>
                <w:ilvl w:val="0"/>
                <w:numId w:val="66"/>
              </w:numPr>
              <w:ind w:left="0" w:firstLine="349"/>
              <w:jc w:val="both"/>
              <w:rPr>
                <w:i w:val="0"/>
                <w:iCs w:val="0"/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</w:rPr>
              <w:t xml:space="preserve">ИПБОТ-ЗАО "ССК"-378-2008 Инструкция по промышленной безопасности и охране труда при проведении земляных работ </w:t>
            </w:r>
            <w:r>
              <w:rPr>
                <w:i w:val="0"/>
                <w:iCs w:val="0"/>
                <w:sz w:val="22"/>
                <w:szCs w:val="22"/>
              </w:rPr>
              <w:t xml:space="preserve"> </w:t>
            </w:r>
            <w:r>
              <w:rPr>
                <w:i w:val="0"/>
                <w:iCs w:val="0"/>
                <w:sz w:val="22"/>
                <w:szCs w:val="22"/>
              </w:rPr>
              <w:t xml:space="preserve">от 24.05.2017 № 378-2008.</w:t>
            </w:r>
            <w:r>
              <w:rPr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vAlign w:val="center"/>
            <w:vMerge w:val="restart"/>
            <w:textDirection w:val="lrTb"/>
            <w:noWrap w:val="false"/>
          </w:tcPr>
          <w:p>
            <w:pPr>
              <w:pStyle w:val="116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eastAsia="Calibri"/>
                <w:bCs/>
                <w:i w:val="0"/>
                <w:iCs w:val="0"/>
                <w:sz w:val="22"/>
                <w:szCs w:val="22"/>
                <w:highlight w:val="none"/>
              </w:rPr>
              <w:outlineLvl w:val="2"/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eastAsia="Calibri"/>
                <w:i w:val="0"/>
                <w:iCs w:val="0"/>
                <w:sz w:val="22"/>
                <w:szCs w:val="22"/>
                <w:highlight w:val="none"/>
              </w:rPr>
              <w:t xml:space="preserve">Соблюдение требований к пожарной безопасности</w:t>
            </w:r>
            <w:r>
              <w:rPr>
                <w:rFonts w:eastAsia="Calibri"/>
                <w:bCs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eastAsia="Calibri"/>
                <w:bCs/>
                <w:i w:val="0"/>
                <w:iCs w:val="0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7654" w:type="dxa"/>
            <w:vMerge w:val="restart"/>
            <w:textDirection w:val="lrTb"/>
            <w:noWrap w:val="false"/>
          </w:tcPr>
          <w:p>
            <w:pPr>
              <w:ind w:firstLine="460"/>
              <w:jc w:val="both"/>
              <w:widowControl w:val="off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bCs/>
                <w:i w:val="0"/>
                <w:iCs w:val="0"/>
                <w:sz w:val="22"/>
                <w:szCs w:val="22"/>
                <w:highlight w:val="none"/>
              </w:rPr>
      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63"/>
              </w:numPr>
              <w:ind w:left="142" w:right="0" w:firstLine="207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bCs/>
                <w:i w:val="0"/>
                <w:iCs w:val="0"/>
                <w:sz w:val="22"/>
                <w:szCs w:val="22"/>
                <w:highlight w:val="none"/>
              </w:rPr>
              <w:t xml:space="preserve">Правилах</w:t>
            </w:r>
            <w:r>
              <w:rPr>
                <w:bCs/>
                <w:i w:val="0"/>
                <w:iCs w:val="0"/>
                <w:sz w:val="22"/>
                <w:szCs w:val="22"/>
                <w:highlight w:val="none"/>
              </w:rPr>
              <w:t xml:space="preserve"> противопожарного режима в Российской Федерации, утверждены  Постановлением Правительства РФ от 16.09.2020 № 1479;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63"/>
              </w:numPr>
              <w:ind w:left="142" w:right="0" w:firstLine="207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Федеральный закон от 22.07.2008 № 123-ФЗ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 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«Технический регламент о требованиях пожарной безопасности»;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 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63"/>
              </w:numPr>
              <w:ind w:left="142" w:right="0" w:firstLine="207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ГОСТ 12.1.004-91 «Система стандартов безопасности труда (ССБТ). Пожарная безопасность. Общие требования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» (утв. 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постановлением Госстандарта СССР от 14.06.1991 № 875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)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;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contextualSpacing/>
              <w:ind w:left="0" w:right="0" w:firstLine="425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contextualSpacing/>
              <w:ind w:left="0" w:right="0" w:firstLine="425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Персональную ответственность за обеспечение пожарной безопасности несёт руководитель подрядной организации или лицо, его замещающее.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ind w:left="0" w:right="0" w:firstLine="425"/>
              <w:jc w:val="both"/>
              <w:tabs>
                <w:tab w:val="left" w:pos="256" w:leader="none"/>
              </w:tabs>
              <w:rPr>
                <w:bCs/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Место производства работ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 должно быть оснащено средствами пожаротушения. </w:t>
            </w:r>
            <w:r>
              <w:rPr>
                <w:bCs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bCs/>
                <w:i w:val="0"/>
                <w:iCs w:val="0"/>
                <w:sz w:val="22"/>
                <w:szCs w:val="22"/>
                <w:highlight w:val="non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vAlign w:val="center"/>
            <w:vMerge w:val="restart"/>
            <w:textDirection w:val="lrTb"/>
            <w:noWrap w:val="false"/>
          </w:tcPr>
          <w:p>
            <w:pPr>
              <w:pStyle w:val="116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eastAsia="Calibri"/>
                <w:bCs/>
                <w:i w:val="0"/>
                <w:iCs w:val="0"/>
                <w:sz w:val="22"/>
                <w:szCs w:val="22"/>
                <w:highlight w:val="none"/>
              </w:rPr>
              <w:outlineLvl w:val="2"/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eastAsia="Calibri"/>
                <w:i w:val="0"/>
                <w:iCs w:val="0"/>
                <w:sz w:val="22"/>
                <w:szCs w:val="22"/>
                <w:highlight w:val="none"/>
              </w:rPr>
              <w:t xml:space="preserve">Соблюдение требований к охране окружающей среды</w:t>
            </w:r>
            <w:r>
              <w:rPr>
                <w:rFonts w:eastAsia="Calibri"/>
                <w:bCs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eastAsia="Calibri"/>
                <w:bCs/>
                <w:i w:val="0"/>
                <w:iCs w:val="0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7654" w:type="dxa"/>
            <w:vMerge w:val="restart"/>
            <w:textDirection w:val="lrTb"/>
            <w:noWrap w:val="false"/>
          </w:tcPr>
          <w:p>
            <w:pPr>
              <w:ind w:left="0" w:right="0" w:firstLine="425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При выполнении всех работ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 и общестроительных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ind w:left="0" w:right="0" w:firstLine="425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Отходы, строительный мусор должны своевременно вывозиться для дальнейшей утилизации.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contextualSpacing/>
              <w:ind w:left="0" w:right="225" w:firstLine="425"/>
              <w:jc w:val="both"/>
              <w:widowControl w:val="off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Мероприятия и работы по охране окружающей среды вести в соответствии: 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64"/>
              </w:numPr>
              <w:ind w:left="142" w:right="0" w:firstLine="207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Федеральный закон от 10.01.2002 № 7-ФЗ «Об охране окружающей среды»;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64"/>
              </w:numPr>
              <w:ind w:left="142" w:right="0" w:firstLine="207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Федеральный закон от 04.05.1999 № 96-ФЗ «Об охране атмосферного воздуха»;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64"/>
              </w:numPr>
              <w:ind w:left="142" w:right="0" w:firstLine="207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Федеральный закон от 03.06.2006 № 74-ФЗ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 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«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Водный кодекс Российской Федерации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»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;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67"/>
              </w:numPr>
              <w:ind w:left="0" w:firstLine="349"/>
              <w:jc w:val="both"/>
              <w:rPr>
                <w:i w:val="0"/>
                <w:iCs w:val="0"/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СТО 70238424.13.060.30.001-2008 Тепловые электрические станции. Экологическая безопасность. Защита водной среды. Нормы и требования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;</w:t>
            </w:r>
            <w:r>
              <w:rPr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63"/>
              <w:numPr>
                <w:ilvl w:val="0"/>
                <w:numId w:val="68"/>
              </w:numPr>
              <w:ind w:left="0" w:firstLine="349"/>
              <w:jc w:val="both"/>
              <w:rPr>
                <w:i w:val="0"/>
                <w:iCs w:val="0"/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СП 34.13330.2021 «СНиП 2.02.02-85* Автомобильные дороги» (утв. 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Приказ Министерства строительства и жилищно-коммунального хозяйства Российской Федерации от 09.02.2021 № 53/пр)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.</w:t>
            </w:r>
            <w:r>
              <w:rPr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vAlign w:val="center"/>
            <w:vMerge w:val="restart"/>
            <w:textDirection w:val="lrTb"/>
            <w:noWrap w:val="false"/>
          </w:tcPr>
          <w:p>
            <w:pPr>
              <w:pStyle w:val="116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eastAsia="Calibri"/>
                <w:bCs/>
                <w:i w:val="0"/>
                <w:iCs w:val="0"/>
                <w:sz w:val="22"/>
                <w:szCs w:val="22"/>
                <w:highlight w:val="none"/>
              </w:rPr>
              <w:outlineLvl w:val="2"/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eastAsia="Calibri"/>
                <w:i w:val="0"/>
                <w:iCs w:val="0"/>
                <w:sz w:val="22"/>
                <w:szCs w:val="22"/>
                <w:highlight w:val="none"/>
              </w:rPr>
              <w:t xml:space="preserve">Соблюдение требований охраны труда</w:t>
            </w:r>
            <w:r>
              <w:rPr>
                <w:rFonts w:eastAsia="Calibri"/>
                <w:bCs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eastAsia="Calibri"/>
                <w:bCs/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spacing w:before="60" w:after="60"/>
              <w:rPr>
                <w:i w:val="0"/>
                <w:iCs w:val="0"/>
                <w:sz w:val="22"/>
                <w:szCs w:val="22"/>
                <w:highlight w:val="none"/>
              </w:rPr>
              <w:outlineLvl w:val="2"/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7654" w:type="dxa"/>
            <w:vMerge w:val="restart"/>
            <w:textDirection w:val="lrTb"/>
            <w:noWrap w:val="false"/>
          </w:tcPr>
          <w:p>
            <w:pPr>
              <w:ind w:firstLine="430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К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онтроль по соблюдению требований охраны труда осуществляется Подрядчиком и Заказчиком. Заказчик обязуется назначить куратора и обеспечить допуск персонала подрядчика к месту проведения работ. 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ind w:firstLine="430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Заказчик 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о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знакомляет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ind w:firstLine="430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Организация ремонтной площадки, участков работ и рабочих мест должна обеспечивать безопасность труда работающих на всех этапах выполнения работ. Для производства работ в охранной зоне необходимо получить наряд-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допуск.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ind w:firstLine="283"/>
              <w:jc w:val="both"/>
              <w:widowControl w:val="off"/>
              <w:tabs>
                <w:tab w:val="left" w:pos="567" w:leader="none"/>
              </w:tabs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65"/>
              </w:numPr>
              <w:ind w:left="142" w:right="0" w:firstLine="207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Правила по охране труда при строительстве, реконструкции и ремонте (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Приказ Минтруда России от 11.12.2020 № 883н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);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65"/>
              </w:numPr>
              <w:ind w:left="142" w:right="0" w:firstLine="207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Правила при погрузочно-разгрузочных работах и размещении грузов (утв. приказом Министерства труда и социальной защиты Российской Федерации от 28.10.2020г. №753н);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65"/>
              </w:numPr>
              <w:ind w:left="142" w:right="0" w:firstLine="207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П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26.11.2020г. №461).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ind w:left="0" w:right="0" w:firstLine="709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ind w:left="0" w:right="0" w:firstLine="709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Все работники должны быть обеспечены спецодеждой, 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спецобувью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 и другими 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СИЗ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 в соответствии с типовыми отраслевыми нормами.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ind w:firstLine="430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 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Более подробно требования указаны в проекте договора подряда (в том числе в разделе № 2), который включен в состав Документации о закупке)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textDirection w:val="lrTb"/>
            <w:noWrap w:val="false"/>
          </w:tcPr>
          <w:p>
            <w:pPr>
              <w:pStyle w:val="1163"/>
              <w:numPr>
                <w:ilvl w:val="0"/>
                <w:numId w:val="6"/>
              </w:numPr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3"/>
            <w:tcW w:w="921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Требования к результатам работ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textDirection w:val="lrTb"/>
            <w:noWrap w:val="false"/>
          </w:tcPr>
          <w:p>
            <w:pPr>
              <w:pStyle w:val="1163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3"/>
            <w:tcW w:w="9213" w:type="dxa"/>
            <w:textDirection w:val="lrTb"/>
            <w:noWrap w:val="false"/>
          </w:tcPr>
          <w:p>
            <w:pPr>
              <w:spacing w:before="60"/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2"/>
                <w:szCs w:val="22"/>
              </w:rPr>
              <w:t xml:space="preserve">Общие требования к результатам работ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2"/>
                <w:szCs w:val="22"/>
              </w:rPr>
              <w:t xml:space="preserve">осле вып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2"/>
                <w:szCs w:val="22"/>
              </w:rPr>
              <w:t xml:space="preserve">олнения работ по перемещению золы должно соответствовать требованиям нормативно-технической документации в течение гарантийного срока и обеспечить надежную эксплуатацию золоотвала с момента приемки работ при соблюдении электростанцией правил эксплуатации. 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textDirection w:val="lrTb"/>
            <w:noWrap w:val="false"/>
          </w:tcPr>
          <w:p>
            <w:pPr>
              <w:pStyle w:val="1163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3"/>
            <w:tcW w:w="921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Требования к порядку приемки результатов работ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Подробно указаны в проекте договора подряда (в том числе в разделе № 4), который включен в состав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Документации о закуп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ке.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  <w:highlight w:val="whit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textDirection w:val="lrTb"/>
            <w:noWrap w:val="false"/>
          </w:tcPr>
          <w:p>
            <w:pPr>
              <w:pStyle w:val="1163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</w:p>
        </w:tc>
        <w:tc>
          <w:tcPr>
            <w:gridSpan w:val="3"/>
            <w:tcW w:w="9213" w:type="dxa"/>
            <w:textDirection w:val="lrTb"/>
            <w:noWrap w:val="false"/>
          </w:tcPr>
          <w:p>
            <w:pPr>
              <w:spacing w:before="60"/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2"/>
                <w:szCs w:val="22"/>
                <w:highlight w:val="white"/>
              </w:rPr>
              <w:t xml:space="preserve">Требования к оформлению документации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  <w:highlight w:val="whit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108" w:type="dxa"/>
              <w:bottom w:w="0" w:type="dxa"/>
            </w:tcMar>
            <w:tcW w:w="963" w:type="dxa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before="60" w:after="60"/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2.3.1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1701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eastAsia="Calibri"/>
                <w:i w:val="0"/>
                <w:iCs w:val="0"/>
                <w:sz w:val="22"/>
                <w:szCs w:val="22"/>
                <w:highlight w:val="none"/>
              </w:rPr>
              <w:outlineLvl w:val="2"/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bookmarkStart w:id="0" w:name="undefined"/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bookmarkStart w:id="0" w:name="undefined"/>
            <w:r>
              <w:rPr>
                <w:rFonts w:eastAsia="Calibri"/>
                <w:i w:val="0"/>
                <w:iCs w:val="0"/>
                <w:sz w:val="22"/>
                <w:szCs w:val="22"/>
                <w:highlight w:val="none"/>
              </w:rPr>
              <w:t xml:space="preserve">Общие требования к оформлению документации</w:t>
            </w:r>
            <w:bookmarkEnd w:id="0"/>
            <w:r>
              <w:rPr>
                <w:rFonts w:eastAsia="Calibri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eastAsia="Calibri"/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</w:r>
            <w:r>
              <w:rPr>
                <w:i w:val="0"/>
                <w:iCs w:val="0"/>
                <w:sz w:val="22"/>
                <w:szCs w:val="22"/>
              </w:rPr>
            </w:r>
            <w:r>
              <w:rPr>
                <w:i w:val="0"/>
                <w:iCs w:val="0"/>
                <w:sz w:val="22"/>
                <w:szCs w:val="22"/>
              </w:rPr>
            </w:r>
          </w:p>
        </w:tc>
        <w:tc>
          <w:tcPr>
            <w:tcW w:w="7512" w:type="dxa"/>
            <w:vMerge w:val="restart"/>
            <w:textDirection w:val="lrTb"/>
            <w:noWrap w:val="false"/>
          </w:tcPr>
          <w:p>
            <w:pPr>
              <w:ind w:left="27" w:right="0" w:firstLine="398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П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одрядчик 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п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редставляет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 Заказчику электронные версии Акта 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br/>
              <w:t xml:space="preserve">КС-2 и Справки КС-3 на цифровом носителе в формате *gsfx ПК «ГРАНД Сметы», в формате *.pdf) и на бумажном носителе в 3-х экземплярах, исполнитель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ную документацию в электронном виде (в формате *.pdf) и на бумажном носителе в 3-х экземплярах.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ind w:left="27" w:right="0" w:firstLine="0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Исполнительная документация должна быть оформлена в соответствии с: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71"/>
              </w:numPr>
              <w:ind w:left="0" w:right="0" w:firstLine="425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Положением 21-003-2019 «Об организации контроля и приемке выполненных работ на ремонтируемых объектах,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 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объектах модернизации, реконструкции и технического перевооружения.», утвержденным приказом № 555 от 29.11.2019 г. АО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 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«ДГК» (Приложение №5 к настоящим ТТ):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71"/>
              </w:numPr>
              <w:ind w:left="0" w:right="0" w:firstLine="425"/>
              <w:jc w:val="both"/>
              <w:rPr>
                <w:bCs/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Приказом Минстроя России от 16.05.2023 №344/пр 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.</w:t>
            </w:r>
            <w:r>
              <w:rPr>
                <w:bCs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bCs/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ind w:left="27" w:right="0" w:firstLine="398"/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50"/>
        </w:trPr>
        <w:tc>
          <w:tcPr>
            <w:tcW w:w="963" w:type="dxa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before="60" w:after="60"/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2.3.2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1701" w:type="dxa"/>
            <w:vMerge w:val="restart"/>
            <w:textDirection w:val="lrTb"/>
            <w:noWrap w:val="false"/>
          </w:tcPr>
          <w:p>
            <w:pPr>
              <w:spacing w:before="60"/>
              <w:rPr>
                <w:rFonts w:ascii="Times New Roman" w:hAnsi="Times New Roman" w:eastAsia="Times New Roman" w:cs="Times New Roman"/>
                <w:b/>
                <w:i w:val="0"/>
                <w:iCs w:val="0"/>
                <w:sz w:val="22"/>
                <w:szCs w:val="22"/>
                <w:highlight w:val="white"/>
              </w:rPr>
            </w:pPr>
            <w:r>
              <w:rPr>
                <w:rFonts w:eastAsia="Calibri"/>
                <w:i w:val="0"/>
                <w:iCs w:val="0"/>
                <w:sz w:val="22"/>
                <w:szCs w:val="22"/>
                <w:highlight w:val="none"/>
              </w:rPr>
              <w:t xml:space="preserve">Состав документации включает в себя, но не ограничивается следующими документами</w:t>
            </w: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2"/>
                <w:szCs w:val="22"/>
                <w:highlight w:val="white"/>
              </w:rPr>
            </w:r>
          </w:p>
        </w:tc>
        <w:tc>
          <w:tcPr>
            <w:tcW w:w="7512" w:type="dxa"/>
            <w:vMerge w:val="restart"/>
            <w:textDirection w:val="lrTb"/>
            <w:noWrap w:val="false"/>
          </w:tcPr>
          <w:p>
            <w:pPr>
              <w:pStyle w:val="1163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Исполнительные геодезические схемы участков разработанной золы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в дополнительной секции буферного золоотвала;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Исполнительные геодезические съемки отсыпки золы в буферный золоотвал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СП Нерюнгринская ГРЭС (Чульманская ТЭЦ, НГВК);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Исполнительные схемы временных дорог;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</w:p>
          <w:p>
            <w:pPr>
              <w:pStyle w:val="1163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Исполнительные схемы на содержания существующих дорог;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</w:p>
          <w:p>
            <w:pPr>
              <w:pStyle w:val="1163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Исполнительные схемы рекультивации буферного золоотвала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СП Нерюнгринская ГРЭС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(Чульманская ТЭЦ, НГВК)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;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Общий журнал работ;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</w:p>
          <w:p>
            <w:pPr>
              <w:pStyle w:val="1163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Уточненная ведомость объёма работ;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</w:p>
          <w:p>
            <w:pPr>
              <w:pStyle w:val="1163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Акты освидетельствования скрытых работ;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</w:p>
          <w:p>
            <w:pPr>
              <w:pStyle w:val="1163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Копии рапортов работы механизмов;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</w:p>
          <w:p>
            <w:pPr>
              <w:pStyle w:val="1163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Копии путевых листов на автотранспорт;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</w:p>
          <w:p>
            <w:pPr>
              <w:pStyle w:val="1163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Табеля учета работы механизмов и автотранспорта, 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</w:p>
          <w:p>
            <w:pPr>
              <w:pStyle w:val="1163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Акты приемки выполненных работ;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</w:p>
          <w:p>
            <w:pPr>
              <w:pStyle w:val="1163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фото/видео материалы (при необходимости);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</w:p>
          <w:p>
            <w:pPr>
              <w:pStyle w:val="1163"/>
              <w:numPr>
                <w:ilvl w:val="0"/>
                <w:numId w:val="70"/>
              </w:numPr>
              <w:jc w:val="both"/>
              <w:tabs>
                <w:tab w:val="left" w:pos="850" w:leader="none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другие документы по усмотрению Сторон с учетом специфики Работ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</w:p>
          <w:p>
            <w:pPr>
              <w:ind w:left="27" w:right="0" w:firstLine="398"/>
              <w:jc w:val="both"/>
              <w:rPr>
                <w:i w:val="0"/>
                <w:iCs w:val="0"/>
                <w:sz w:val="22"/>
                <w:szCs w:val="22"/>
                <w:highlight w:val="none"/>
                <w14:ligatures w14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Исполнительная документация должна обеспечивать достоверность и полноту сведений о фактически выполн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енных Работах.</w:t>
            </w:r>
            <w:r>
              <w:rPr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ind w:left="27" w:right="0" w:firstLine="398"/>
              <w:jc w:val="both"/>
              <w:rPr>
                <w:bCs w:val="0"/>
                <w:i w:val="0"/>
                <w:sz w:val="22"/>
                <w:szCs w:val="22"/>
                <w:highlight w:val="none"/>
                <w14:ligatures w14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textDirection w:val="lrTb"/>
            <w:noWrap w:val="false"/>
          </w:tcPr>
          <w:p>
            <w:pPr>
              <w:pStyle w:val="1163"/>
              <w:numPr>
                <w:ilvl w:val="0"/>
                <w:numId w:val="6"/>
              </w:numPr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3"/>
            <w:tcW w:w="9213" w:type="dxa"/>
            <w:textDirection w:val="lrTb"/>
            <w:noWrap w:val="false"/>
          </w:tcPr>
          <w:p>
            <w:pPr>
              <w:spacing w:before="40"/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2"/>
                <w:szCs w:val="22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</w:p>
          <w:p>
            <w:pPr>
              <w:pStyle w:val="1163"/>
              <w:numPr>
                <w:ilvl w:val="0"/>
                <w:numId w:val="73"/>
              </w:numPr>
              <w:ind w:left="0" w:firstLine="426"/>
              <w:jc w:val="both"/>
              <w:spacing w:before="0" w:after="0"/>
              <w:widowControl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bCs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Перечень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30 декабря 2009 г. № 384-ФЗ "Технический регламент о безопасности зданий и сооружений" (утв. 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приказом Федерального агентства по техническому регулированию и метрологии от 02.04.2020 № 687)</w:t>
            </w:r>
            <w:r>
              <w:rPr>
                <w:bCs/>
                <w:i w:val="0"/>
                <w:iCs w:val="0"/>
                <w:sz w:val="22"/>
                <w:szCs w:val="22"/>
                <w:highlight w:val="none"/>
              </w:rPr>
              <w:t xml:space="preserve">;</w:t>
            </w:r>
            <w:r>
              <w:rPr>
                <w:bCs/>
                <w:i w:val="0"/>
                <w:iCs w:val="0"/>
                <w:sz w:val="22"/>
                <w:szCs w:val="22"/>
                <w:highlight w:val="none"/>
              </w:rPr>
              <w:t xml:space="preserve"> 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73"/>
              </w:numPr>
              <w:ind w:left="0" w:firstLine="426"/>
              <w:jc w:val="both"/>
              <w:spacing w:before="0" w:after="0"/>
              <w:widowControl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При возникновении необходимости проведен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ия аварийно-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восстановительных работ, порядок взаимодействия Заказчика и Подрядчика определяется в соответствии с Положением АО «ДГК» 21-004-2017 «по формированию и управлению работой аварийных бригад при выполнении аварийных работ на оборудовании СП филиалов АО «ДГК» 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(Приложение №5 к настоящим ТТ)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.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textDirection w:val="lrTb"/>
            <w:noWrap w:val="false"/>
          </w:tcPr>
          <w:p>
            <w:pPr>
              <w:pStyle w:val="1163"/>
              <w:numPr>
                <w:ilvl w:val="0"/>
                <w:numId w:val="6"/>
              </w:numPr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3"/>
            <w:tcW w:w="9213" w:type="dxa"/>
            <w:textDirection w:val="lrTb"/>
            <w:noWrap w:val="false"/>
          </w:tcPr>
          <w:p>
            <w:pPr>
              <w:jc w:val="both"/>
              <w:spacing w:before="20"/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2"/>
                <w:szCs w:val="22"/>
              </w:rPr>
              <w:t xml:space="preserve">Требования к ответственности и гарантиям подрядчика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42"/>
        </w:trPr>
        <w:tc>
          <w:tcPr>
            <w:tcW w:w="963" w:type="dxa"/>
            <w:textDirection w:val="lrTb"/>
            <w:noWrap w:val="false"/>
          </w:tcPr>
          <w:p>
            <w:pPr>
              <w:pStyle w:val="1163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3"/>
            <w:tcW w:w="9213" w:type="dxa"/>
            <w:textDirection w:val="lrTb"/>
            <w:noWrap w:val="false"/>
          </w:tcPr>
          <w:p>
            <w:pPr>
              <w:pStyle w:val="1163"/>
              <w:ind w:left="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bidi="ru-RU"/>
              </w:rPr>
              <w:t xml:space="preserve">Подробно требования к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ответственности подрядчика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bidi="ru-RU"/>
              </w:rPr>
              <w:t xml:space="preserve">указаны в проекте договора подряда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bidi="ru-RU"/>
              </w:rPr>
              <w:t xml:space="preserve">(в том числе в разделе №6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bidi="ru-RU"/>
              </w:rPr>
              <w:t xml:space="preserve">), который включен в состав Документации о закупке.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6"/>
        </w:trPr>
        <w:tc>
          <w:tcPr>
            <w:tcW w:w="963" w:type="dxa"/>
            <w:textDirection w:val="lrTb"/>
            <w:noWrap w:val="false"/>
          </w:tcPr>
          <w:p>
            <w:pPr>
              <w:pStyle w:val="1163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3"/>
            <w:tcW w:w="9213" w:type="dxa"/>
            <w:textDirection w:val="lrTb"/>
            <w:noWrap w:val="false"/>
          </w:tcPr>
          <w:p>
            <w:pPr>
              <w:keepNext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Подробно требования к сроку и объему предоставления гарантий указаны в проекте договора подряда (в том числе в разделе  №7), который включен в состав Документации о закупке.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textDirection w:val="lrTb"/>
            <w:noWrap w:val="false"/>
          </w:tcPr>
          <w:p>
            <w:pPr>
              <w:pStyle w:val="1163"/>
              <w:numPr>
                <w:ilvl w:val="0"/>
                <w:numId w:val="6"/>
              </w:numPr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3"/>
            <w:tcW w:w="9213" w:type="dxa"/>
            <w:textDirection w:val="lrTb"/>
            <w:noWrap w:val="false"/>
          </w:tcPr>
          <w:p>
            <w:pPr>
              <w:keepNext/>
              <w:spacing w:before="60" w:after="60"/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2"/>
                <w:szCs w:val="22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</w:p>
          <w:p>
            <w:pPr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Требования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к субподрядным организациям, привлекаемым к выполнению работ: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keepNext/>
              <w:spacing w:before="60" w:after="60"/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Подробно указаны в проекте договора подряда (в том числе в разделе № 2), который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включен в состав Документации о закупке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keepNext/>
              <w:spacing w:before="60" w:after="60"/>
              <w:rPr>
                <w:rFonts w:ascii="Times New Roman" w:hAnsi="Times New Roman" w:cs="Times New Roman"/>
                <w:b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vMerge w:val="restart"/>
            <w:textDirection w:val="lrTb"/>
            <w:noWrap w:val="false"/>
          </w:tcPr>
          <w:p>
            <w:pPr>
              <w:pStyle w:val="1163"/>
              <w:numPr>
                <w:ilvl w:val="0"/>
                <w:numId w:val="6"/>
              </w:numPr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5"/>
            <w:tcW w:w="13921" w:type="dxa"/>
            <w:vMerge w:val="restart"/>
            <w:textDirection w:val="lrTb"/>
            <w:noWrap w:val="false"/>
          </w:tcPr>
          <w:p>
            <w:pPr>
              <w:keepNext/>
              <w:spacing w:before="60" w:after="60"/>
              <w:rPr>
                <w:i w:val="0"/>
                <w:iCs w:val="0"/>
                <w:sz w:val="22"/>
                <w:szCs w:val="22"/>
                <w:highlight w:val="none"/>
                <w14:ligatures w14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Требования к Победителю</w:t>
            </w:r>
            <w:r>
              <w:rPr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ind w:left="27" w:right="0" w:firstLine="398"/>
              <w:jc w:val="both"/>
              <w:rPr>
                <w:i w:val="0"/>
                <w:iCs w:val="0"/>
                <w:sz w:val="22"/>
                <w:szCs w:val="22"/>
                <w:highlight w:val="white"/>
                <w14:ligatures w14:val="none"/>
              </w:rPr>
            </w:pPr>
            <w:r>
              <w:rPr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i w:val="0"/>
                <w:iCs w:val="0"/>
                <w:sz w:val="22"/>
                <w:szCs w:val="22"/>
                <w:highlight w:val="white"/>
              </w:rPr>
              <w:t xml:space="preserve">Участник, признанный </w:t>
            </w:r>
            <w:r>
              <w:rPr>
                <w:i w:val="0"/>
                <w:iCs w:val="0"/>
                <w:sz w:val="22"/>
                <w:szCs w:val="22"/>
                <w:highlight w:val="white"/>
              </w:rPr>
              <w:t xml:space="preserve">победителем</w:t>
            </w:r>
            <w:r>
              <w:rPr>
                <w:i w:val="0"/>
                <w:iCs w:val="0"/>
                <w:sz w:val="22"/>
                <w:szCs w:val="22"/>
                <w:highlight w:val="white"/>
              </w:rPr>
              <w:t xml:space="preserve"> закупочной процедуры, в течение </w:t>
            </w:r>
            <w:r>
              <w:rPr>
                <w:i w:val="0"/>
                <w:iCs w:val="0"/>
                <w:sz w:val="22"/>
                <w:szCs w:val="22"/>
                <w:highlight w:val="white"/>
                <w:u w:val="single"/>
              </w:rPr>
              <w:t xml:space="preserve">5 (пяти) рабочих дней </w:t>
            </w:r>
            <w:r>
              <w:rPr>
                <w:i w:val="0"/>
                <w:iCs w:val="0"/>
                <w:sz w:val="22"/>
                <w:szCs w:val="22"/>
                <w:highlight w:val="white"/>
              </w:rPr>
              <w:t xml:space="preserve">после размещения протокола подведения итогов закупки на сайте </w:t>
            </w:r>
            <w:hyperlink r:id="rId15" w:tooltip="http://www.zakupki.gov.ru" w:history="1">
              <w:r>
                <w:rPr>
                  <w:i w:val="0"/>
                  <w:iCs w:val="0"/>
                  <w:sz w:val="22"/>
                  <w:szCs w:val="22"/>
                  <w:highlight w:val="white"/>
                </w:rPr>
                <w:t xml:space="preserve">www.zakupki.gov.ru</w:t>
              </w:r>
            </w:hyperlink>
            <w:r>
              <w:rPr>
                <w:i w:val="0"/>
                <w:iCs w:val="0"/>
                <w:sz w:val="22"/>
                <w:szCs w:val="22"/>
                <w:highlight w:val="white"/>
              </w:rPr>
              <w:t xml:space="preserve"> (до заключения договора), должен предоставить в адрес Заказчика </w:t>
            </w:r>
            <w:r>
              <w:rPr>
                <w:i w:val="0"/>
                <w:iCs w:val="0"/>
                <w:sz w:val="22"/>
                <w:szCs w:val="22"/>
                <w:highlight w:val="white"/>
              </w:rPr>
              <w:t xml:space="preserve">на электронный адрес </w:t>
            </w:r>
            <w:r>
              <w:rPr>
                <w:i w:val="0"/>
                <w:iCs w:val="0"/>
                <w:sz w:val="22"/>
                <w:szCs w:val="22"/>
                <w:highlight w:val="white"/>
              </w:rPr>
              <w:t xml:space="preserve">mameychik-aa@dgk.ru</w:t>
            </w:r>
            <w:r>
              <w:rPr>
                <w:i w:val="0"/>
                <w:iCs w:val="0"/>
                <w:sz w:val="22"/>
                <w:szCs w:val="22"/>
                <w:highlight w:val="white"/>
              </w:rPr>
              <w:t xml:space="preserve"> дополнительные документы.</w:t>
            </w:r>
            <w:r>
              <w:rPr>
                <w:i w:val="0"/>
                <w:iCs w:val="0"/>
                <w:sz w:val="22"/>
                <w:szCs w:val="22"/>
                <w:highlight w:val="white"/>
                <w14:ligatures w14:val="none"/>
              </w:rPr>
            </w:r>
            <w:r>
              <w:rPr>
                <w:i w:val="0"/>
                <w:iCs w:val="0"/>
                <w:sz w:val="22"/>
                <w:szCs w:val="22"/>
                <w:highlight w:val="white"/>
                <w14:ligatures w14:val="none"/>
              </w:rPr>
            </w:r>
          </w:p>
          <w:p>
            <w:pPr>
              <w:ind w:left="27" w:right="0" w:firstLine="398"/>
              <w:jc w:val="both"/>
              <w:rPr>
                <w:bCs/>
                <w:i w:val="0"/>
                <w:iCs w:val="0"/>
                <w:sz w:val="22"/>
                <w:szCs w:val="22"/>
                <w:highlight w:val="white"/>
                <w14:ligatures w14:val="none"/>
              </w:rPr>
            </w:pPr>
            <w:r>
              <w:rPr>
                <w:i w:val="0"/>
                <w:iCs w:val="0"/>
                <w:sz w:val="22"/>
                <w:szCs w:val="22"/>
                <w:highlight w:val="white"/>
              </w:rPr>
              <w:t xml:space="preserve">В случае не предоставления документов, указанных в данном пункте Технических требований в установленный срок, в соответствии с условиями Документации о закупке, Победитель призн</w:t>
            </w:r>
            <w:r>
              <w:rPr>
                <w:i w:val="0"/>
                <w:iCs w:val="0"/>
                <w:sz w:val="22"/>
                <w:szCs w:val="22"/>
                <w:highlight w:val="white"/>
              </w:rPr>
              <w:t xml:space="preserve">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bCs/>
                <w:i w:val="0"/>
                <w:iCs w:val="0"/>
                <w:sz w:val="22"/>
                <w:szCs w:val="22"/>
                <w:highlight w:val="white"/>
                <w14:ligatures w14:val="none"/>
              </w:rPr>
            </w:r>
            <w:r>
              <w:rPr>
                <w:bCs/>
                <w:i w:val="0"/>
                <w:iCs w:val="0"/>
                <w:sz w:val="22"/>
                <w:szCs w:val="22"/>
                <w:highlight w:val="white"/>
                <w14:ligatures w14:val="none"/>
              </w:rPr>
            </w:r>
          </w:p>
        </w:tc>
      </w:tr>
      <w:tr>
        <w:tblPrEx/>
        <w:trPr/>
        <w:tc>
          <w:tcPr>
            <w:tcW w:w="963" w:type="dxa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before="60" w:after="60"/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 6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</w:p>
          <w:p>
            <w:pPr>
              <w:ind w:left="792" w:firstLine="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3"/>
            <w:tcW w:w="921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  <w:highlight w:val="non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2"/>
                <w:szCs w:val="22"/>
                <w:highlight w:val="none"/>
                <w:u w:val="single"/>
              </w:rPr>
              <w:t xml:space="preserve">Требования к кадровым ресурсам Победителя: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  <w:highlight w:val="none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  <w:highlight w:val="none"/>
                <w:u w:val="single"/>
              </w:rPr>
            </w:r>
          </w:p>
          <w:p>
            <w:pPr>
              <w:ind w:left="0" w:right="141" w:firstLine="0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  <w:lang w:val="ru-RU" w:eastAsia="en-US" w:bidi="ar-SA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Согласно требования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п.92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Постановления правительства Российской федерации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 от 24.12.2021 г.№2464 «О порядке обучения по охране труда и проверки знаний требований охраны труда»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: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ind w:left="0" w:right="141" w:firstLine="0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  <w:lang w:val="ru-RU" w:eastAsia="en-US" w:bidi="ru-RU"/>
              </w:rPr>
              <w:t xml:space="preserve">меть в наличие не менее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  <w:lang w:val="ru-RU" w:eastAsia="en-US" w:bidi="ar-SA"/>
              </w:rPr>
              <w:t xml:space="preserve"> 2-х человек (руководитель, производитель работ) прошедших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  <w:lang w:val="ru-RU" w:eastAsia="en-US" w:bidi="ar-SA"/>
              </w:rPr>
              <w:t xml:space="preserve">проверку знаний требований охраны труда.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  <w:lang w:val="ru-RU" w:eastAsia="en-US" w:bidi="ar-SA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4708" w:type="dxa"/>
            <w:vMerge w:val="restart"/>
            <w:textDirection w:val="lrTb"/>
            <w:noWrap w:val="false"/>
          </w:tcPr>
          <w:p>
            <w:pPr>
              <w:ind w:left="142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2"/>
                <w:szCs w:val="22"/>
                <w:highlight w:val="none"/>
                <w:u w:val="single"/>
                <w:lang w:val="ru-RU" w:eastAsia="en-US" w:bidi="ar-SA"/>
              </w:rPr>
              <w:t xml:space="preserve">Подтверждается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  <w:lang w:val="ru-RU" w:eastAsia="en-US" w:bidi="ar-SA"/>
              </w:rPr>
              <w:t xml:space="preserve">: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963"/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  <w:lang w:val="ru-RU" w:eastAsia="en-US" w:bidi="ar-SA"/>
              </w:rPr>
              <w:t xml:space="preserve">Копиями документов проверки знаний требований охраны труда обученных лиц, не менее чем на 2 человек, (руководитель, производитель работ), которые будут непосредственно на объектах выполнять работы по Наряду-допуску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W w:w="963" w:type="dxa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before="60" w:after="60"/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 6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</w:rPr>
              <w:t xml:space="preserve">.2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</w:p>
          <w:p>
            <w:pPr>
              <w:ind w:left="360" w:firstLine="0"/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3"/>
            <w:tcW w:w="921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  <w:highlight w:val="non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2"/>
                <w:szCs w:val="22"/>
                <w:highlight w:val="none"/>
                <w:u w:val="single"/>
              </w:rPr>
              <w:t xml:space="preserve">Требования к МТР Победителя: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  <w:highlight w:val="none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  <w:highlight w:val="none"/>
                <w:u w:val="single"/>
              </w:rPr>
            </w:r>
          </w:p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  <w:pBdr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Для выполнения работ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по  чистке чаши шлакозолоотвалов Чульманской ТЭЦ, пос. Чульман и НГВК, г. Нерюнгри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 Победитель должен иметь на правах собственности или ином законном основании минимально необходимое количество спец техники: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</w:p>
          <w:p>
            <w:pPr>
              <w:pStyle w:val="1163"/>
              <w:numPr>
                <w:ilvl w:val="0"/>
                <w:numId w:val="81"/>
              </w:numPr>
              <w:ind w:right="0"/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Экскаватор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вместимость ковша 1  (1-1,2) м3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не менее 1 единицы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;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81"/>
              </w:numPr>
              <w:ind w:right="0"/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Бульдозер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мощностью до 243 кВт (330 л.с.)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не менее 1 единицы;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</w:r>
          </w:p>
          <w:p>
            <w:pPr>
              <w:pStyle w:val="1163"/>
              <w:numPr>
                <w:ilvl w:val="0"/>
                <w:numId w:val="74"/>
              </w:numPr>
              <w:ind w:right="0"/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Автомобиль-с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амосвал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грузоподъёмностью до 15тн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не менее 2 единиц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4708" w:type="dxa"/>
            <w:vMerge w:val="restart"/>
            <w:textDirection w:val="lrTb"/>
            <w:noWrap w:val="false"/>
          </w:tcPr>
          <w:p>
            <w:pPr>
              <w:ind w:left="142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2"/>
                <w:szCs w:val="22"/>
                <w:highlight w:val="none"/>
                <w:u w:val="single"/>
                <w:lang w:val="ru-RU" w:eastAsia="en-US" w:bidi="ar-SA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2"/>
                <w:szCs w:val="22"/>
                <w:highlight w:val="none"/>
                <w:u w:val="single"/>
                <w:lang w:val="ru-RU" w:eastAsia="en-US" w:bidi="ar-SA"/>
              </w:rPr>
              <w:t xml:space="preserve">одтверждается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  <w:lang w:val="ru-RU" w:eastAsia="en-US" w:bidi="ar-SA"/>
              </w:rPr>
              <w:t xml:space="preserve">: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jc w:val="both"/>
              <w:rPr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Подтверждается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копиями договоров аренды (в случае владения по договору аренды) и/или копиями договоров оказания услуг и/или копиями иных документов, подтверждающих законное право владения (в случае вл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highlight w:val="none"/>
              </w:rPr>
              <w:t xml:space="preserve">адения на ином основании).</w:t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</w:r>
          </w:p>
        </w:tc>
      </w:tr>
    </w:tbl>
    <w:p>
      <w:pPr>
        <w:spacing w:after="160" w:line="259" w:lineRule="auto"/>
        <w:rPr>
          <w:sz w:val="22"/>
          <w:szCs w:val="22"/>
        </w:rPr>
        <w:sectPr>
          <w:headerReference w:type="default" r:id="rId11"/>
          <w:headerReference w:type="first" r:id="rId12"/>
          <w:footerReference w:type="default" r:id="rId14"/>
          <w:footnotePr/>
          <w:endnotePr/>
          <w:type w:val="nextPage"/>
          <w:pgSz w:w="16838" w:h="11906" w:orient="landscape"/>
          <w:pgMar w:top="993" w:right="1134" w:bottom="850" w:left="1134" w:header="426" w:footer="708" w:gutter="0"/>
          <w:cols w:num="1" w:sep="0" w:space="708" w:equalWidth="1"/>
          <w:docGrid w:linePitch="360"/>
        </w:sect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64"/>
        <w:ind w:left="357" w:hanging="357"/>
        <w:jc w:val="center"/>
        <w:keepLines/>
        <w:rPr>
          <w:sz w:val="22"/>
          <w:szCs w:val="22"/>
        </w:rPr>
      </w:pPr>
      <w:r>
        <w:rPr>
          <w:sz w:val="22"/>
          <w:szCs w:val="22"/>
        </w:rPr>
      </w:r>
      <w:bookmarkStart w:id="26" w:name="_Toc53393312"/>
      <w:r>
        <w:rPr>
          <w:sz w:val="22"/>
          <w:szCs w:val="22"/>
        </w:rPr>
      </w:r>
      <w:bookmarkStart w:id="27" w:name="_Toc54646411"/>
      <w:r>
        <w:rPr>
          <w:sz w:val="22"/>
          <w:szCs w:val="22"/>
        </w:rPr>
      </w:r>
      <w:bookmarkStart w:id="28" w:name="_Toc46743519"/>
      <w:r>
        <w:rPr>
          <w:sz w:val="22"/>
          <w:szCs w:val="22"/>
        </w:rPr>
      </w:r>
      <w:bookmarkStart w:id="29" w:name="_Toc51339699"/>
      <w:r>
        <w:rPr>
          <w:sz w:val="22"/>
          <w:szCs w:val="22"/>
        </w:rPr>
        <w:t xml:space="preserve">Требования к документации по ценообразованию</w:t>
      </w:r>
      <w:bookmarkEnd w:id="26"/>
      <w:r>
        <w:rPr>
          <w:sz w:val="22"/>
          <w:szCs w:val="22"/>
        </w:rPr>
        <w:t xml:space="preserve"> на этапе закупки</w:t>
      </w:r>
      <w:bookmarkEnd w:id="27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67"/>
        <w:ind w:left="1418" w:hanging="709"/>
        <w:jc w:val="both"/>
        <w:rPr>
          <w:sz w:val="22"/>
          <w:szCs w:val="22"/>
          <w:highlight w:val="none"/>
        </w:rPr>
      </w:pPr>
      <w:r>
        <w:rPr>
          <w:b w:val="0"/>
          <w:bCs w:val="0"/>
          <w:sz w:val="22"/>
          <w:szCs w:val="22"/>
          <w:highlight w:val="none"/>
        </w:rPr>
        <w:t xml:space="preserve">В обоснование стоимости сво</w:t>
      </w:r>
      <w:r>
        <w:rPr>
          <w:b w:val="0"/>
          <w:bCs w:val="0"/>
          <w:sz w:val="22"/>
          <w:szCs w:val="22"/>
          <w:highlight w:val="none"/>
        </w:rPr>
        <w:t xml:space="preserve">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 Стоимость предложений участников определяется по формуле: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1417" w:right="0" w:firstLine="0"/>
        <w:jc w:val="center"/>
        <w:spacing w:before="0" w:line="240" w:lineRule="auto"/>
        <w:tabs>
          <w:tab w:val="left" w:pos="567" w:leader="none"/>
        </w:tabs>
        <w:rPr>
          <w:sz w:val="22"/>
          <w:szCs w:val="22"/>
          <w:highlight w:val="none"/>
        </w:rPr>
      </w:pPr>
      <w:r>
        <w:rPr>
          <w:i w:val="0"/>
          <w:iCs w:val="0"/>
          <w:sz w:val="22"/>
          <w:szCs w:val="22"/>
          <w:highlight w:val="none"/>
        </w:rPr>
        <w:t xml:space="preserve">P=N*k,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1417" w:right="0" w:firstLine="0"/>
        <w:jc w:val="both"/>
        <w:spacing w:before="0" w:line="240" w:lineRule="auto"/>
        <w:tabs>
          <w:tab w:val="left" w:pos="567" w:leader="none"/>
        </w:tabs>
        <w:rPr>
          <w:sz w:val="22"/>
          <w:szCs w:val="22"/>
          <w:highlight w:val="none"/>
        </w:rPr>
      </w:pPr>
      <w:r>
        <w:rPr>
          <w:i w:val="0"/>
          <w:iCs w:val="0"/>
          <w:sz w:val="22"/>
          <w:szCs w:val="22"/>
          <w:highlight w:val="none"/>
        </w:rPr>
        <w:t xml:space="preserve">где     P – стоимость предложения участника; 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1417" w:right="0" w:firstLine="0"/>
        <w:jc w:val="both"/>
        <w:spacing w:before="0" w:line="240" w:lineRule="auto"/>
        <w:tabs>
          <w:tab w:val="left" w:pos="567" w:leader="none"/>
        </w:tabs>
        <w:rPr>
          <w:bCs w:val="0"/>
          <w:i w:val="0"/>
          <w:sz w:val="22"/>
          <w:szCs w:val="22"/>
          <w:highlight w:val="none"/>
        </w:rPr>
      </w:pPr>
      <w:r>
        <w:rPr>
          <w:i w:val="0"/>
          <w:iCs w:val="0"/>
          <w:sz w:val="22"/>
          <w:szCs w:val="22"/>
          <w:highlight w:val="none"/>
        </w:rPr>
        <w:t xml:space="preserve">N – начальная (максимальная) цена договора</w:t>
      </w:r>
      <w:r>
        <w:rPr>
          <w:i w:val="0"/>
          <w:iCs w:val="0"/>
          <w:sz w:val="22"/>
          <w:szCs w:val="22"/>
          <w:highlight w:val="none"/>
        </w:rPr>
        <w:t xml:space="preserve"> (цена лота)</w:t>
      </w:r>
      <w:r>
        <w:rPr>
          <w:i w:val="0"/>
          <w:iCs w:val="0"/>
          <w:sz w:val="22"/>
          <w:szCs w:val="22"/>
          <w:highlight w:val="none"/>
        </w:rPr>
        <w:t xml:space="preserve">, определенная в соответствии со сметной документацией Заказчика, приведенной в приложении №3 к настоящим Техническим требованиям; </w:t>
      </w:r>
      <w:r>
        <w:rPr>
          <w:bCs w:val="0"/>
          <w:i w:val="0"/>
          <w:sz w:val="22"/>
          <w:szCs w:val="22"/>
          <w:highlight w:val="none"/>
        </w:rPr>
      </w:r>
      <w:r>
        <w:rPr>
          <w:bCs w:val="0"/>
          <w:i w:val="0"/>
          <w:sz w:val="22"/>
          <w:szCs w:val="22"/>
          <w:highlight w:val="none"/>
        </w:rPr>
      </w:r>
    </w:p>
    <w:p>
      <w:pPr>
        <w:pStyle w:val="967"/>
        <w:ind w:left="1418" w:hanging="709"/>
        <w:jc w:val="both"/>
        <w:rPr>
          <w:b w:val="0"/>
          <w:bCs w:val="0"/>
          <w:iCs/>
          <w:sz w:val="22"/>
          <w:szCs w:val="22"/>
        </w:rPr>
      </w:pPr>
      <w:r>
        <w:rPr>
          <w:bCs w:val="0"/>
          <w:i w:val="0"/>
          <w:sz w:val="22"/>
          <w:szCs w:val="22"/>
          <w:highlight w:val="none"/>
        </w:rPr>
      </w:r>
      <w:r>
        <w:rPr>
          <w:b w:val="0"/>
          <w:bCs w:val="0"/>
          <w:i w:val="0"/>
          <w:iCs w:val="0"/>
          <w:sz w:val="22"/>
          <w:szCs w:val="22"/>
          <w:highlight w:val="none"/>
        </w:rPr>
        <w:t xml:space="preserve">k – </w:t>
      </w:r>
      <w:r>
        <w:rPr>
          <w:b w:val="0"/>
          <w:bCs w:val="0"/>
          <w:i w:val="0"/>
          <w:iCs w:val="0"/>
          <w:sz w:val="22"/>
          <w:szCs w:val="22"/>
          <w:highlight w:val="none"/>
        </w:rPr>
        <w:t xml:space="preserve">понижающий коэффициент, заявленный участником </w:t>
      </w:r>
      <w:r>
        <w:rPr>
          <w:b w:val="0"/>
          <w:bCs w:val="0"/>
          <w:i w:val="0"/>
          <w:iCs w:val="0"/>
          <w:sz w:val="22"/>
          <w:szCs w:val="22"/>
          <w:highlight w:val="none"/>
        </w:rPr>
        <w:t xml:space="preserve">в расчете цены заявки, величину данного коэффициента рекомендуется учитывать с округлением до 7 знаков после запятой</w:t>
      </w:r>
      <w:r>
        <w:rPr>
          <w:b w:val="0"/>
          <w:bCs w:val="0"/>
          <w:iCs/>
          <w:sz w:val="22"/>
          <w:szCs w:val="22"/>
        </w:rPr>
        <w:t xml:space="preserve">.</w:t>
      </w:r>
      <w:r>
        <w:rPr>
          <w:b w:val="0"/>
          <w:bCs w:val="0"/>
          <w:iCs/>
          <w:sz w:val="22"/>
          <w:szCs w:val="22"/>
        </w:rPr>
      </w:r>
      <w:r>
        <w:rPr>
          <w:b w:val="0"/>
          <w:bCs w:val="0"/>
          <w:iCs/>
          <w:sz w:val="22"/>
          <w:szCs w:val="22"/>
        </w:rPr>
      </w:r>
    </w:p>
    <w:p>
      <w:pPr>
        <w:pStyle w:val="967"/>
        <w:ind w:left="1418" w:hanging="709"/>
        <w:jc w:val="both"/>
        <w:rPr>
          <w:b w:val="0"/>
          <w:iCs/>
          <w:sz w:val="22"/>
          <w:szCs w:val="22"/>
        </w:rPr>
      </w:pPr>
      <w:r>
        <w:rPr>
          <w:b w:val="0"/>
          <w:iCs/>
          <w:sz w:val="22"/>
          <w:szCs w:val="22"/>
        </w:rPr>
        <w:t xml:space="preserve">Дополнительные документы по ценообразованию (сметная документация) в состав заявки Участника не включаются».</w:t>
      </w:r>
      <w:r>
        <w:rPr>
          <w:b w:val="0"/>
          <w:iCs/>
          <w:sz w:val="22"/>
          <w:szCs w:val="22"/>
        </w:rPr>
      </w:r>
      <w:r>
        <w:rPr>
          <w:b w:val="0"/>
          <w:iCs/>
          <w:sz w:val="22"/>
          <w:szCs w:val="22"/>
        </w:rPr>
      </w:r>
    </w:p>
    <w:p>
      <w:pPr>
        <w:pStyle w:val="964"/>
        <w:numPr>
          <w:ilvl w:val="0"/>
          <w:numId w:val="0"/>
        </w:numPr>
        <w:ind w:left="357"/>
        <w:keepLines/>
        <w:rPr>
          <w:iCs/>
          <w:sz w:val="22"/>
          <w:szCs w:val="22"/>
        </w:rPr>
      </w:pPr>
      <w:r>
        <w:rPr>
          <w:iCs/>
          <w:sz w:val="22"/>
          <w:szCs w:val="22"/>
        </w:rPr>
      </w:r>
      <w:r>
        <w:rPr>
          <w:iCs/>
          <w:sz w:val="22"/>
          <w:szCs w:val="22"/>
        </w:rPr>
      </w:r>
      <w:r>
        <w:rPr>
          <w:iCs/>
          <w:sz w:val="22"/>
          <w:szCs w:val="22"/>
        </w:rPr>
      </w:r>
    </w:p>
    <w:p>
      <w:pPr>
        <w:rPr>
          <w:rFonts w:eastAsia="Calibri"/>
          <w:b/>
          <w:iCs/>
          <w:sz w:val="22"/>
          <w:szCs w:val="22"/>
        </w:rPr>
      </w:pPr>
      <w:r>
        <w:rPr>
          <w:rFonts w:eastAsia="Calibri"/>
          <w:b/>
          <w:iCs/>
          <w:sz w:val="22"/>
          <w:szCs w:val="22"/>
        </w:rPr>
      </w:r>
      <w:r>
        <w:rPr>
          <w:rFonts w:eastAsia="Calibri"/>
          <w:b/>
          <w:iCs/>
          <w:sz w:val="22"/>
          <w:szCs w:val="22"/>
        </w:rPr>
      </w:r>
      <w:r>
        <w:rPr>
          <w:rFonts w:eastAsia="Calibri"/>
          <w:b/>
          <w:iCs/>
          <w:sz w:val="22"/>
          <w:szCs w:val="22"/>
        </w:rPr>
      </w:r>
    </w:p>
    <w:p>
      <w:pPr>
        <w:pStyle w:val="964"/>
        <w:ind w:left="357" w:hanging="357"/>
        <w:jc w:val="center"/>
        <w:keepLines/>
        <w:rPr>
          <w:sz w:val="22"/>
          <w:szCs w:val="22"/>
        </w:rPr>
      </w:pPr>
      <w:r>
        <w:rPr>
          <w:sz w:val="22"/>
          <w:szCs w:val="22"/>
        </w:rPr>
      </w:r>
      <w:bookmarkStart w:id="30" w:name="_Toc54646412"/>
      <w:r>
        <w:rPr>
          <w:sz w:val="22"/>
          <w:szCs w:val="22"/>
        </w:rPr>
        <w:t xml:space="preserve">Требования к документации по ценообразованию на этапе заключения (исполнения) договора</w:t>
      </w:r>
      <w:bookmarkEnd w:id="30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64"/>
        <w:numPr>
          <w:ilvl w:val="0"/>
          <w:numId w:val="0"/>
        </w:numPr>
        <w:ind w:left="357"/>
        <w:keepLines/>
        <w:rPr>
          <w:iCs/>
          <w:sz w:val="22"/>
          <w:szCs w:val="22"/>
        </w:rPr>
      </w:pPr>
      <w:r>
        <w:rPr>
          <w:iCs/>
          <w:sz w:val="22"/>
          <w:szCs w:val="22"/>
        </w:rPr>
      </w:r>
      <w:r>
        <w:rPr>
          <w:iCs/>
          <w:sz w:val="22"/>
          <w:szCs w:val="22"/>
        </w:rPr>
      </w:r>
      <w:r>
        <w:rPr>
          <w:iCs/>
          <w:sz w:val="22"/>
          <w:szCs w:val="22"/>
        </w:rPr>
      </w:r>
    </w:p>
    <w:p>
      <w:pPr>
        <w:pStyle w:val="967"/>
        <w:ind w:left="1418" w:hanging="709"/>
        <w:jc w:val="both"/>
        <w:rPr>
          <w:b w:val="0"/>
          <w:bCs w:val="0"/>
          <w:iCs/>
          <w:sz w:val="22"/>
          <w:szCs w:val="22"/>
        </w:rPr>
      </w:pPr>
      <w:r>
        <w:rPr>
          <w:b w:val="0"/>
          <w:bCs w:val="0"/>
          <w:iCs/>
          <w:sz w:val="22"/>
          <w:szCs w:val="22"/>
        </w:rPr>
        <w:t xml:space="preserve">Требования к составлению сметной документации (при заключении договора):</w:t>
      </w:r>
      <w:r>
        <w:rPr>
          <w:b w:val="0"/>
          <w:bCs w:val="0"/>
          <w:iCs/>
          <w:sz w:val="22"/>
          <w:szCs w:val="22"/>
        </w:rPr>
      </w:r>
      <w:r>
        <w:rPr>
          <w:b w:val="0"/>
          <w:bCs w:val="0"/>
          <w:iCs/>
          <w:sz w:val="22"/>
          <w:szCs w:val="22"/>
        </w:rPr>
      </w:r>
    </w:p>
    <w:p>
      <w:pPr>
        <w:pStyle w:val="967"/>
        <w:numPr>
          <w:ilvl w:val="2"/>
          <w:numId w:val="1"/>
        </w:numPr>
        <w:ind w:left="1418" w:hanging="709"/>
        <w:jc w:val="both"/>
        <w:rPr>
          <w:b w:val="0"/>
          <w:bCs w:val="0"/>
          <w:iCs/>
          <w:sz w:val="22"/>
          <w:szCs w:val="22"/>
        </w:rPr>
      </w:pPr>
      <w:r>
        <w:rPr>
          <w:b w:val="0"/>
          <w:bCs w:val="0"/>
          <w:iCs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iCs/>
          <w:sz w:val="22"/>
          <w:szCs w:val="22"/>
          <w:highlight w:val="none"/>
        </w:rPr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</w:t>
      </w:r>
      <w:r>
        <w:rPr>
          <w:rFonts w:ascii="Times New Roman" w:hAnsi="Times New Roman" w:cs="Times New Roman"/>
          <w:b w:val="0"/>
          <w:bCs w:val="0"/>
          <w:iCs/>
          <w:sz w:val="22"/>
          <w:szCs w:val="22"/>
          <w:highlight w:val="none"/>
        </w:rPr>
        <w:t xml:space="preserve">приложении №1 к настоящим ТТ, и включается в состав договора с применением понижающего коэффициента, указанного в заявке Участника, с которым принято решение заключить договор. 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Понижающий коэффициент начисляется в локальн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ых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 смет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ах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 единым индексом в итогах</w:t>
      </w:r>
      <w:r>
        <w:rPr>
          <w:b w:val="0"/>
          <w:bCs w:val="0"/>
          <w:iCs/>
          <w:sz w:val="22"/>
          <w:szCs w:val="22"/>
        </w:rPr>
        <w:t xml:space="preserve">.</w:t>
      </w:r>
      <w:r>
        <w:rPr>
          <w:b w:val="0"/>
          <w:bCs w:val="0"/>
          <w:iCs/>
          <w:sz w:val="22"/>
          <w:szCs w:val="22"/>
        </w:rPr>
      </w:r>
      <w:r>
        <w:rPr>
          <w:b w:val="0"/>
          <w:bCs w:val="0"/>
          <w:iCs/>
          <w:sz w:val="22"/>
          <w:szCs w:val="22"/>
        </w:rPr>
      </w:r>
    </w:p>
    <w:p>
      <w:pPr>
        <w:pStyle w:val="967"/>
        <w:numPr>
          <w:ilvl w:val="2"/>
          <w:numId w:val="1"/>
        </w:numPr>
        <w:ind w:left="1418" w:hanging="709"/>
        <w:jc w:val="both"/>
        <w:rPr>
          <w:b w:val="0"/>
          <w:bCs w:val="0"/>
          <w:iCs/>
          <w:sz w:val="22"/>
          <w:szCs w:val="22"/>
        </w:rPr>
      </w:pPr>
      <w:r>
        <w:rPr>
          <w:b w:val="0"/>
          <w:bCs w:val="0"/>
          <w:iCs/>
          <w:sz w:val="22"/>
          <w:szCs w:val="22"/>
        </w:rPr>
        <w:t xml:space="preserve">Внесение изменений в сметную документацию Заказчика, кроме применения понижающего коэффициента в соответствии с п.4.1.1, не допускается.</w:t>
      </w:r>
      <w:r>
        <w:rPr>
          <w:b w:val="0"/>
          <w:bCs w:val="0"/>
          <w:iCs/>
          <w:sz w:val="22"/>
          <w:szCs w:val="22"/>
        </w:rPr>
      </w:r>
      <w:r>
        <w:rPr>
          <w:b w:val="0"/>
          <w:bCs w:val="0"/>
          <w:iCs/>
          <w:sz w:val="22"/>
          <w:szCs w:val="22"/>
        </w:rPr>
      </w:r>
    </w:p>
    <w:p>
      <w:pPr>
        <w:pStyle w:val="967"/>
        <w:ind w:left="1418" w:hanging="709"/>
        <w:jc w:val="both"/>
        <w:rPr>
          <w:b w:val="0"/>
          <w:bCs w:val="0"/>
          <w:iCs/>
          <w:sz w:val="22"/>
          <w:szCs w:val="22"/>
        </w:rPr>
      </w:pPr>
      <w:r>
        <w:rPr>
          <w:b w:val="0"/>
          <w:bCs w:val="0"/>
          <w:iCs/>
          <w:sz w:val="22"/>
          <w:szCs w:val="22"/>
        </w:rPr>
        <w:t xml:space="preserve">Требования к составлению сметной документации (на этапе исполнения договора):</w:t>
      </w:r>
      <w:r>
        <w:rPr>
          <w:b w:val="0"/>
          <w:bCs w:val="0"/>
          <w:iCs/>
          <w:sz w:val="22"/>
          <w:szCs w:val="22"/>
        </w:rPr>
      </w:r>
      <w:r>
        <w:rPr>
          <w:b w:val="0"/>
          <w:bCs w:val="0"/>
          <w:iCs/>
          <w:sz w:val="22"/>
          <w:szCs w:val="22"/>
        </w:rPr>
      </w:r>
    </w:p>
    <w:p>
      <w:pPr>
        <w:pStyle w:val="967"/>
        <w:numPr>
          <w:ilvl w:val="2"/>
          <w:numId w:val="1"/>
        </w:numPr>
        <w:ind w:left="1418" w:hanging="709"/>
        <w:jc w:val="both"/>
        <w:rPr>
          <w:iCs/>
          <w:sz w:val="22"/>
          <w:szCs w:val="22"/>
        </w:rPr>
      </w:pPr>
      <w:r>
        <w:rPr>
          <w:b w:val="0"/>
          <w:bCs w:val="0"/>
          <w:iCs/>
          <w:sz w:val="22"/>
          <w:szCs w:val="22"/>
        </w:rPr>
        <w:t xml:space="preserve">В случае возникновения непредвиденных расходов в рамках реализации договора необходимо составлять и оф</w:t>
      </w:r>
      <w:r>
        <w:rPr>
          <w:b w:val="0"/>
          <w:bCs w:val="0"/>
          <w:iCs/>
          <w:sz w:val="22"/>
          <w:szCs w:val="22"/>
        </w:rPr>
        <w:t xml:space="preserve">о</w:t>
      </w:r>
      <w:r>
        <w:rPr>
          <w:b w:val="0"/>
          <w:bCs w:val="0"/>
          <w:iCs/>
          <w:sz w:val="22"/>
          <w:szCs w:val="22"/>
        </w:rPr>
        <w:t xml:space="preserve">рмлять сметную документацию в обоснование данных затрат в соответствии с требованиями, указанными в приложении № 1 к настоящим Техническим требованиям, с применением понижающего коэффициента, определенного по результатам конкурентной процедуры (п. 4.1.1). 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 не предусматривается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.</w:t>
      </w:r>
      <w:r>
        <w:rPr>
          <w:iCs/>
          <w:sz w:val="22"/>
          <w:szCs w:val="22"/>
        </w:rPr>
      </w:r>
      <w:r>
        <w:rPr>
          <w:iCs/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67"/>
        <w:numPr>
          <w:ilvl w:val="0"/>
          <w:numId w:val="0"/>
        </w:numPr>
        <w:jc w:val="both"/>
        <w:rPr>
          <w:b w:val="0"/>
          <w:bCs w:val="0"/>
          <w:sz w:val="22"/>
          <w:szCs w:val="22"/>
        </w:rPr>
      </w:pPr>
      <w:r>
        <w:rPr>
          <w:iCs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</w:p>
    <w:p>
      <w:pPr>
        <w:shd w:val="nil" w:color="auto"/>
        <w:rPr>
          <w:sz w:val="22"/>
          <w:szCs w:val="22"/>
          <w:highlight w:val="none"/>
        </w:rPr>
      </w:pPr>
      <w:r>
        <w:rPr>
          <w:iCs/>
          <w:sz w:val="22"/>
          <w:szCs w:val="22"/>
          <w:highlight w:val="none"/>
        </w:rPr>
        <w:br w:type="page" w:clear="all"/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964"/>
        <w:ind w:left="357" w:hanging="357"/>
        <w:jc w:val="center"/>
        <w:keepLines/>
        <w:rPr>
          <w:iCs/>
          <w:caps/>
          <w:sz w:val="22"/>
          <w:szCs w:val="22"/>
        </w:rPr>
      </w:pPr>
      <w:r>
        <w:rPr>
          <w:sz w:val="22"/>
          <w:szCs w:val="22"/>
        </w:rPr>
      </w:r>
      <w:bookmarkStart w:id="31" w:name="_Toc54646413"/>
      <w:r>
        <w:rPr>
          <w:iCs/>
          <w:sz w:val="22"/>
          <w:szCs w:val="22"/>
        </w:rPr>
        <w:t xml:space="preserve">Приложения</w:t>
      </w:r>
      <w:bookmarkEnd w:id="28"/>
      <w:r>
        <w:rPr>
          <w:sz w:val="22"/>
          <w:szCs w:val="22"/>
        </w:rPr>
      </w:r>
      <w:bookmarkEnd w:id="29"/>
      <w:r>
        <w:rPr>
          <w:sz w:val="22"/>
          <w:szCs w:val="22"/>
        </w:rPr>
      </w:r>
      <w:bookmarkEnd w:id="31"/>
      <w:r>
        <w:rPr>
          <w:iCs/>
          <w:caps/>
          <w:sz w:val="22"/>
          <w:szCs w:val="22"/>
        </w:rPr>
      </w:r>
      <w:r>
        <w:rPr>
          <w:iCs/>
          <w:caps/>
          <w:sz w:val="22"/>
          <w:szCs w:val="22"/>
        </w:rPr>
      </w:r>
    </w:p>
    <w:p>
      <w:pPr>
        <w:jc w:val="both"/>
        <w:spacing w:after="12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Приложение №1 - </w:t>
      </w:r>
      <w:r>
        <w:rPr>
          <w:sz w:val="22"/>
          <w:szCs w:val="22"/>
        </w:rPr>
        <w:t xml:space="preserve">Требования к оформлению и составлению документации по ценообразованию;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both"/>
        <w:spacing w:after="12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Приложение № 2 - Ведомость объемов работ;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both"/>
        <w:spacing w:after="120"/>
        <w:rPr>
          <w:sz w:val="22"/>
          <w:szCs w:val="22"/>
          <w:highlight w:val="none"/>
        </w:rPr>
      </w:pPr>
      <w:r>
        <w:rPr>
          <w:bCs/>
          <w:sz w:val="22"/>
          <w:szCs w:val="22"/>
        </w:rPr>
        <w:t xml:space="preserve">Приложение № 3 - Локальный сметный расчет</w:t>
      </w:r>
      <w:r>
        <w:rPr>
          <w:bCs/>
          <w:sz w:val="22"/>
          <w:szCs w:val="22"/>
        </w:rPr>
        <w:t xml:space="preserve">;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both"/>
        <w:spacing w:after="120"/>
        <w:rPr>
          <w:sz w:val="22"/>
          <w:szCs w:val="22"/>
          <w14:ligatures w14:val="none"/>
        </w:rPr>
      </w:pPr>
      <w:r>
        <w:rPr>
          <w:sz w:val="22"/>
          <w:szCs w:val="22"/>
        </w:rPr>
        <w:t xml:space="preserve">Приложение № 4 - </w:t>
      </w:r>
      <w:r>
        <w:rPr>
          <w:sz w:val="22"/>
          <w:szCs w:val="22"/>
        </w:rPr>
        <w:t xml:space="preserve">План участка очистки ЗШО</w:t>
      </w:r>
      <w:r>
        <w:rPr>
          <w:sz w:val="22"/>
          <w:szCs w:val="22"/>
        </w:rPr>
        <w:t xml:space="preserve">.</w:t>
      </w:r>
      <w:r>
        <w:rPr>
          <w:sz w:val="22"/>
          <w:szCs w:val="22"/>
          <w14:ligatures w14:val="none"/>
        </w:rPr>
      </w:r>
      <w:r>
        <w:rPr>
          <w:sz w:val="22"/>
          <w:szCs w:val="22"/>
          <w14:ligatures w14:val="none"/>
        </w:rPr>
      </w:r>
    </w:p>
    <w:p>
      <w:pPr>
        <w:jc w:val="both"/>
        <w:spacing w:after="120"/>
        <w:rPr>
          <w:sz w:val="22"/>
          <w:szCs w:val="22"/>
        </w:rPr>
      </w:pPr>
      <w:r>
        <w:rPr>
          <w:bCs/>
          <w:sz w:val="22"/>
          <w:szCs w:val="22"/>
        </w:rPr>
        <w:t xml:space="preserve">Приложение № 5 – </w:t>
      </w:r>
      <w:r>
        <w:rPr>
          <w:bCs/>
          <w:sz w:val="22"/>
          <w:szCs w:val="22"/>
        </w:rPr>
        <w:t xml:space="preserve">Локальные нормативные документы</w:t>
      </w:r>
      <w:r>
        <w:rPr>
          <w:bCs/>
          <w:sz w:val="22"/>
          <w:szCs w:val="22"/>
        </w:rPr>
        <w:t xml:space="preserve"> АО «ДГК»;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pacing w:after="12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pacing w:after="12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pacing w:after="12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pacing w:after="120"/>
        <w:tabs>
          <w:tab w:val="left" w:pos="680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 light (Заголовки)">
    <w:panose1 w:val="020F050202020403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55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5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828666342"/>
      <w:docPartObj>
        <w:docPartGallery w:val="Page Numbers (Top of Page)"/>
        <w:docPartUnique w:val="true"/>
      </w:docPartObj>
      <w:rPr/>
    </w:sdtPr>
    <w:sdtContent>
      <w:p>
        <w:pPr>
          <w:pStyle w:val="115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5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115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18465715"/>
      <w:docPartObj>
        <w:docPartGallery w:val="Page Numbers (Top of Page)"/>
        <w:docPartUnique w:val="true"/>
      </w:docPartObj>
      <w:rPr/>
    </w:sdtPr>
    <w:sdtContent>
      <w:p>
        <w:pPr>
          <w:pStyle w:val="115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13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1153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759911399"/>
      <w:docPartObj>
        <w:docPartGallery w:val="Page Numbers (Top of Page)"/>
        <w:docPartUnique w:val="true"/>
      </w:docPartObj>
      <w:rPr/>
    </w:sdtPr>
    <w:sdtContent>
      <w:p>
        <w:pPr>
          <w:pStyle w:val="115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15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1153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712715976"/>
      <w:docPartObj>
        <w:docPartGallery w:val="Page Numbers (Top of Page)"/>
        <w:docPartUnique w:val="true"/>
      </w:docPartObj>
      <w:rPr/>
    </w:sdtPr>
    <w:sdtContent>
      <w:p>
        <w:pPr>
          <w:pStyle w:val="115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14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115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64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67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66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  <w:bCs/>
      </w:rPr>
    </w:lvl>
    <w:lvl w:ilvl="1">
      <w:start w:val="1"/>
      <w:numFmt w:val="decimal"/>
      <w:isLgl w:val="false"/>
      <w:suff w:val="tab"/>
      <w:lvlText w:val="%1.%2."/>
      <w:lvlJc w:val="left"/>
      <w:pPr>
        <w:ind w:left="1709" w:hanging="432"/>
      </w:pPr>
      <w:rPr>
        <w:b w:val="0"/>
        <w:bCs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b w:val="0"/>
        <w:b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pStyle w:val="116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162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05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7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9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1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3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5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7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9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18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0" w:firstLine="0"/>
      </w:pPr>
      <w:rPr>
        <w:rFonts w:hint="default"/>
        <w:b/>
        <w:sz w:val="24"/>
      </w:rPr>
    </w:lvl>
    <w:lvl w:ilvl="1">
      <w:start w:val="1"/>
      <w:numFmt w:val="decimal"/>
      <w:isLgl w:val="false"/>
      <w:suff w:val="tab"/>
      <w:lvlText w:val="%1.%2."/>
      <w:lvlJc w:val="right"/>
      <w:pPr>
        <w:ind w:left="0" w:firstLine="0"/>
      </w:pPr>
      <w:rPr>
        <w:rFonts w:hint="default"/>
        <w:b w:val="0"/>
        <w:sz w:val="22"/>
        <w:szCs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hint="default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decimal"/>
      <w:pStyle w:val="964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67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66"/>
      <w:isLgl w:val="false"/>
      <w:suff w:val="tab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4"/>
        <w:highlight w:val="white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  <w:bCs/>
      </w:rPr>
    </w:lvl>
    <w:lvl w:ilvl="1">
      <w:start w:val="1"/>
      <w:numFmt w:val="decimal"/>
      <w:isLgl w:val="false"/>
      <w:suff w:val="tab"/>
      <w:lvlText w:val="%1.%2."/>
      <w:lvlJc w:val="left"/>
      <w:pPr>
        <w:ind w:left="1709" w:hanging="432"/>
      </w:pPr>
      <w:rPr>
        <w:b w:val="0"/>
        <w:bCs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b w:val="0"/>
        <w:b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4"/>
        <w:highlight w:val="white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4"/>
        <w:highlight w:val="white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4"/>
        <w:highlight w:val="white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4"/>
        <w:highlight w:val="white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4"/>
        <w:highlight w:val="white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4"/>
        <w:highlight w:val="white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6"/>
  </w:num>
  <w:num w:numId="3">
    <w:abstractNumId w:val="20"/>
  </w:num>
  <w:num w:numId="4">
    <w:abstractNumId w:val="3"/>
  </w:num>
  <w:num w:numId="5">
    <w:abstractNumId w:val="26"/>
  </w:num>
  <w:num w:numId="6">
    <w:abstractNumId w:val="28"/>
  </w:num>
  <w:num w:numId="7">
    <w:abstractNumId w:val="2"/>
  </w:num>
  <w:num w:numId="8">
    <w:abstractNumId w:val="12"/>
  </w:num>
  <w:num w:numId="9">
    <w:abstractNumId w:val="9"/>
  </w:num>
  <w:num w:numId="10">
    <w:abstractNumId w:val="16"/>
  </w:num>
  <w:num w:numId="11">
    <w:abstractNumId w:val="35"/>
  </w:num>
  <w:num w:numId="12">
    <w:abstractNumId w:val="29"/>
  </w:num>
  <w:num w:numId="13">
    <w:abstractNumId w:val="22"/>
  </w:num>
  <w:num w:numId="14">
    <w:abstractNumId w:val="31"/>
  </w:num>
  <w:num w:numId="15">
    <w:abstractNumId w:val="14"/>
  </w:num>
  <w:num w:numId="16">
    <w:abstractNumId w:val="24"/>
  </w:num>
  <w:num w:numId="17">
    <w:abstractNumId w:val="1"/>
  </w:num>
  <w:num w:numId="18">
    <w:abstractNumId w:val="21"/>
  </w:num>
  <w:num w:numId="19">
    <w:abstractNumId w:val="7"/>
  </w:num>
  <w:num w:numId="20">
    <w:abstractNumId w:val="25"/>
  </w:num>
  <w:num w:numId="21">
    <w:abstractNumId w:val="30"/>
  </w:num>
  <w:num w:numId="22">
    <w:abstractNumId w:val="27"/>
  </w:num>
  <w:num w:numId="23">
    <w:abstractNumId w:val="34"/>
  </w:num>
  <w:num w:numId="24">
    <w:abstractNumId w:val="4"/>
  </w:num>
  <w:num w:numId="25">
    <w:abstractNumId w:val="32"/>
  </w:num>
  <w:num w:numId="26">
    <w:abstractNumId w:val="17"/>
  </w:num>
  <w:num w:numId="27">
    <w:abstractNumId w:val="1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23"/>
  </w:num>
  <w:num w:numId="30">
    <w:abstractNumId w:val="19"/>
  </w:num>
  <w:num w:numId="31">
    <w:abstractNumId w:val="8"/>
  </w:num>
  <w:num w:numId="32">
    <w:abstractNumId w:val="18"/>
  </w:num>
  <w:num w:numId="33">
    <w:abstractNumId w:val="15"/>
  </w:num>
  <w:num w:numId="34">
    <w:abstractNumId w:val="10"/>
  </w:num>
  <w:num w:numId="35">
    <w:abstractNumId w:val="33"/>
  </w:num>
  <w:num w:numId="36">
    <w:abstractNumId w:val="36"/>
  </w:num>
  <w:num w:numId="37">
    <w:abstractNumId w:val="5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944">
    <w:name w:val="Plain Table 1"/>
    <w:basedOn w:val="9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5">
    <w:name w:val="Plain Table 2"/>
    <w:basedOn w:val="97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6">
    <w:name w:val="Plain Table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47">
    <w:name w:val="Plain Table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Plain Table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49">
    <w:name w:val="Grid Table 1 Light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Grid Table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4"/>
    <w:basedOn w:val="9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53">
    <w:name w:val="Grid Table 5 Dark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54">
    <w:name w:val="Grid Table 6 Colorful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55">
    <w:name w:val="Grid Table 7 Colorful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List Table 1 Light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List Table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58">
    <w:name w:val="List Table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5 Dark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1">
    <w:name w:val="List Table 6 Colorful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62">
    <w:name w:val="List Table 7 Colorful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963" w:default="1">
    <w:name w:val="Normal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64">
    <w:name w:val="Heading 1"/>
    <w:basedOn w:val="966"/>
    <w:next w:val="963"/>
    <w:link w:val="1157"/>
    <w:qFormat/>
    <w:pPr>
      <w:numPr>
        <w:ilvl w:val="0"/>
      </w:numPr>
      <w:outlineLvl w:val="0"/>
    </w:pPr>
    <w:rPr>
      <w:sz w:val="28"/>
      <w:szCs w:val="28"/>
    </w:rPr>
  </w:style>
  <w:style w:type="paragraph" w:styleId="965">
    <w:name w:val="Heading 2"/>
    <w:basedOn w:val="963"/>
    <w:next w:val="963"/>
    <w:link w:val="98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966">
    <w:name w:val="Heading 3"/>
    <w:basedOn w:val="963"/>
    <w:next w:val="963"/>
    <w:link w:val="1158"/>
    <w:qFormat/>
    <w:pPr>
      <w:numPr>
        <w:ilvl w:val="2"/>
        <w:numId w:val="1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67">
    <w:name w:val="Heading 4"/>
    <w:basedOn w:val="966"/>
    <w:next w:val="963"/>
    <w:link w:val="1159"/>
    <w:qFormat/>
    <w:pPr>
      <w:numPr>
        <w:ilvl w:val="1"/>
      </w:numPr>
      <w:outlineLvl w:val="3"/>
    </w:pPr>
    <w:rPr>
      <w:bCs/>
    </w:rPr>
  </w:style>
  <w:style w:type="paragraph" w:styleId="968">
    <w:name w:val="Heading 5"/>
    <w:basedOn w:val="963"/>
    <w:next w:val="963"/>
    <w:link w:val="9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969">
    <w:name w:val="Heading 6"/>
    <w:basedOn w:val="963"/>
    <w:next w:val="963"/>
    <w:link w:val="99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970">
    <w:name w:val="Heading 7"/>
    <w:basedOn w:val="963"/>
    <w:next w:val="963"/>
    <w:link w:val="99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71">
    <w:name w:val="Heading 8"/>
    <w:basedOn w:val="963"/>
    <w:next w:val="963"/>
    <w:link w:val="99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72">
    <w:name w:val="Heading 9"/>
    <w:basedOn w:val="963"/>
    <w:next w:val="963"/>
    <w:link w:val="99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73" w:default="1">
    <w:name w:val="Default Paragraph Font"/>
    <w:uiPriority w:val="1"/>
    <w:semiHidden/>
    <w:unhideWhenUsed/>
  </w:style>
  <w:style w:type="table" w:styleId="97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5" w:default="1">
    <w:name w:val="No List"/>
    <w:uiPriority w:val="99"/>
    <w:semiHidden/>
    <w:unhideWhenUsed/>
  </w:style>
  <w:style w:type="character" w:styleId="976" w:customStyle="1">
    <w:name w:val="Heading 2 Char"/>
    <w:basedOn w:val="973"/>
    <w:uiPriority w:val="9"/>
    <w:rPr>
      <w:rFonts w:ascii="Arial" w:hAnsi="Arial" w:eastAsia="Arial" w:cs="Arial"/>
      <w:sz w:val="34"/>
    </w:rPr>
  </w:style>
  <w:style w:type="character" w:styleId="977" w:customStyle="1">
    <w:name w:val="Heading 5 Char"/>
    <w:basedOn w:val="973"/>
    <w:uiPriority w:val="9"/>
    <w:rPr>
      <w:rFonts w:ascii="Arial" w:hAnsi="Arial" w:eastAsia="Arial" w:cs="Arial"/>
      <w:b/>
      <w:bCs/>
      <w:sz w:val="24"/>
      <w:szCs w:val="24"/>
    </w:rPr>
  </w:style>
  <w:style w:type="character" w:styleId="978" w:customStyle="1">
    <w:name w:val="Heading 6 Char"/>
    <w:basedOn w:val="973"/>
    <w:uiPriority w:val="9"/>
    <w:rPr>
      <w:rFonts w:ascii="Arial" w:hAnsi="Arial" w:eastAsia="Arial" w:cs="Arial"/>
      <w:b/>
      <w:bCs/>
      <w:sz w:val="22"/>
      <w:szCs w:val="22"/>
    </w:rPr>
  </w:style>
  <w:style w:type="character" w:styleId="979" w:customStyle="1">
    <w:name w:val="Heading 7 Char"/>
    <w:basedOn w:val="9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80" w:customStyle="1">
    <w:name w:val="Heading 8 Char"/>
    <w:basedOn w:val="973"/>
    <w:uiPriority w:val="9"/>
    <w:rPr>
      <w:rFonts w:ascii="Arial" w:hAnsi="Arial" w:eastAsia="Arial" w:cs="Arial"/>
      <w:i/>
      <w:iCs/>
      <w:sz w:val="22"/>
      <w:szCs w:val="22"/>
    </w:rPr>
  </w:style>
  <w:style w:type="character" w:styleId="981" w:customStyle="1">
    <w:name w:val="Heading 9 Char"/>
    <w:basedOn w:val="973"/>
    <w:uiPriority w:val="9"/>
    <w:rPr>
      <w:rFonts w:ascii="Arial" w:hAnsi="Arial" w:eastAsia="Arial" w:cs="Arial"/>
      <w:i/>
      <w:iCs/>
      <w:sz w:val="21"/>
      <w:szCs w:val="21"/>
    </w:rPr>
  </w:style>
  <w:style w:type="character" w:styleId="982" w:customStyle="1">
    <w:name w:val="Title Char"/>
    <w:basedOn w:val="973"/>
    <w:uiPriority w:val="10"/>
    <w:rPr>
      <w:sz w:val="48"/>
      <w:szCs w:val="48"/>
    </w:rPr>
  </w:style>
  <w:style w:type="character" w:styleId="983" w:customStyle="1">
    <w:name w:val="Subtitle Char"/>
    <w:basedOn w:val="973"/>
    <w:uiPriority w:val="11"/>
    <w:rPr>
      <w:sz w:val="24"/>
      <w:szCs w:val="24"/>
    </w:rPr>
  </w:style>
  <w:style w:type="character" w:styleId="984" w:customStyle="1">
    <w:name w:val="Quote Char"/>
    <w:uiPriority w:val="29"/>
    <w:rPr>
      <w:i/>
    </w:rPr>
  </w:style>
  <w:style w:type="character" w:styleId="985" w:customStyle="1">
    <w:name w:val="Intense Quote Char"/>
    <w:uiPriority w:val="30"/>
    <w:rPr>
      <w:i/>
    </w:rPr>
  </w:style>
  <w:style w:type="character" w:styleId="986" w:customStyle="1">
    <w:name w:val="Footnote Text Char"/>
    <w:uiPriority w:val="99"/>
    <w:rPr>
      <w:sz w:val="18"/>
    </w:rPr>
  </w:style>
  <w:style w:type="character" w:styleId="987" w:customStyle="1">
    <w:name w:val="Endnote Text Char"/>
    <w:uiPriority w:val="99"/>
    <w:rPr>
      <w:sz w:val="20"/>
    </w:rPr>
  </w:style>
  <w:style w:type="character" w:styleId="988" w:customStyle="1">
    <w:name w:val="Heading 1 Char"/>
    <w:basedOn w:val="973"/>
    <w:uiPriority w:val="9"/>
    <w:rPr>
      <w:rFonts w:ascii="Arial" w:hAnsi="Arial" w:eastAsia="Arial" w:cs="Arial"/>
      <w:sz w:val="40"/>
      <w:szCs w:val="40"/>
    </w:rPr>
  </w:style>
  <w:style w:type="character" w:styleId="989" w:customStyle="1">
    <w:name w:val="Заголовок 2 Знак"/>
    <w:basedOn w:val="973"/>
    <w:link w:val="965"/>
    <w:uiPriority w:val="9"/>
    <w:rPr>
      <w:rFonts w:ascii="Arial" w:hAnsi="Arial" w:eastAsia="Arial" w:cs="Arial"/>
      <w:sz w:val="34"/>
    </w:rPr>
  </w:style>
  <w:style w:type="character" w:styleId="990" w:customStyle="1">
    <w:name w:val="Heading 3 Char"/>
    <w:basedOn w:val="973"/>
    <w:uiPriority w:val="9"/>
    <w:rPr>
      <w:rFonts w:ascii="Arial" w:hAnsi="Arial" w:eastAsia="Arial" w:cs="Arial"/>
      <w:sz w:val="30"/>
      <w:szCs w:val="30"/>
    </w:rPr>
  </w:style>
  <w:style w:type="character" w:styleId="991" w:customStyle="1">
    <w:name w:val="Heading 4 Char"/>
    <w:basedOn w:val="973"/>
    <w:uiPriority w:val="9"/>
    <w:rPr>
      <w:rFonts w:ascii="Arial" w:hAnsi="Arial" w:eastAsia="Arial" w:cs="Arial"/>
      <w:b/>
      <w:bCs/>
      <w:sz w:val="26"/>
      <w:szCs w:val="26"/>
    </w:rPr>
  </w:style>
  <w:style w:type="character" w:styleId="992" w:customStyle="1">
    <w:name w:val="Заголовок 5 Знак"/>
    <w:basedOn w:val="973"/>
    <w:link w:val="968"/>
    <w:uiPriority w:val="9"/>
    <w:rPr>
      <w:rFonts w:ascii="Arial" w:hAnsi="Arial" w:eastAsia="Arial" w:cs="Arial"/>
      <w:b/>
      <w:bCs/>
      <w:sz w:val="24"/>
      <w:szCs w:val="24"/>
    </w:rPr>
  </w:style>
  <w:style w:type="character" w:styleId="993" w:customStyle="1">
    <w:name w:val="Заголовок 6 Знак"/>
    <w:basedOn w:val="973"/>
    <w:link w:val="969"/>
    <w:uiPriority w:val="9"/>
    <w:rPr>
      <w:rFonts w:ascii="Arial" w:hAnsi="Arial" w:eastAsia="Arial" w:cs="Arial"/>
      <w:b/>
      <w:bCs/>
      <w:sz w:val="22"/>
      <w:szCs w:val="22"/>
    </w:rPr>
  </w:style>
  <w:style w:type="character" w:styleId="994" w:customStyle="1">
    <w:name w:val="Заголовок 7 Знак"/>
    <w:basedOn w:val="973"/>
    <w:link w:val="9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95" w:customStyle="1">
    <w:name w:val="Заголовок 8 Знак"/>
    <w:basedOn w:val="973"/>
    <w:link w:val="971"/>
    <w:uiPriority w:val="9"/>
    <w:rPr>
      <w:rFonts w:ascii="Arial" w:hAnsi="Arial" w:eastAsia="Arial" w:cs="Arial"/>
      <w:i/>
      <w:iCs/>
      <w:sz w:val="22"/>
      <w:szCs w:val="22"/>
    </w:rPr>
  </w:style>
  <w:style w:type="character" w:styleId="996" w:customStyle="1">
    <w:name w:val="Заголовок 9 Знак"/>
    <w:basedOn w:val="973"/>
    <w:link w:val="972"/>
    <w:uiPriority w:val="9"/>
    <w:rPr>
      <w:rFonts w:ascii="Arial" w:hAnsi="Arial" w:eastAsia="Arial" w:cs="Arial"/>
      <w:i/>
      <w:iCs/>
      <w:sz w:val="21"/>
      <w:szCs w:val="21"/>
    </w:rPr>
  </w:style>
  <w:style w:type="paragraph" w:styleId="997">
    <w:name w:val="No Spacing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8">
    <w:name w:val="Title"/>
    <w:basedOn w:val="963"/>
    <w:next w:val="963"/>
    <w:link w:val="99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99" w:customStyle="1">
    <w:name w:val="Заголовок Знак"/>
    <w:basedOn w:val="973"/>
    <w:link w:val="998"/>
    <w:uiPriority w:val="10"/>
    <w:rPr>
      <w:sz w:val="48"/>
      <w:szCs w:val="48"/>
    </w:rPr>
  </w:style>
  <w:style w:type="paragraph" w:styleId="1000">
    <w:name w:val="Subtitle"/>
    <w:basedOn w:val="963"/>
    <w:next w:val="963"/>
    <w:link w:val="1001"/>
    <w:uiPriority w:val="11"/>
    <w:qFormat/>
    <w:pPr>
      <w:spacing w:before="200" w:after="200"/>
    </w:pPr>
    <w:rPr>
      <w:sz w:val="24"/>
      <w:szCs w:val="24"/>
    </w:rPr>
  </w:style>
  <w:style w:type="character" w:styleId="1001" w:customStyle="1">
    <w:name w:val="Подзаголовок Знак"/>
    <w:basedOn w:val="973"/>
    <w:link w:val="1000"/>
    <w:uiPriority w:val="11"/>
    <w:rPr>
      <w:sz w:val="24"/>
      <w:szCs w:val="24"/>
    </w:rPr>
  </w:style>
  <w:style w:type="paragraph" w:styleId="1002">
    <w:name w:val="Quote"/>
    <w:basedOn w:val="963"/>
    <w:next w:val="963"/>
    <w:link w:val="1003"/>
    <w:uiPriority w:val="29"/>
    <w:qFormat/>
    <w:pPr>
      <w:ind w:left="720" w:right="720"/>
    </w:pPr>
    <w:rPr>
      <w:i/>
    </w:rPr>
  </w:style>
  <w:style w:type="character" w:styleId="1003" w:customStyle="1">
    <w:name w:val="Цитата 2 Знак"/>
    <w:link w:val="1002"/>
    <w:uiPriority w:val="29"/>
    <w:rPr>
      <w:i/>
    </w:rPr>
  </w:style>
  <w:style w:type="paragraph" w:styleId="1004">
    <w:name w:val="Intense Quote"/>
    <w:basedOn w:val="963"/>
    <w:next w:val="963"/>
    <w:link w:val="100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05" w:customStyle="1">
    <w:name w:val="Выделенная цитата Знак"/>
    <w:link w:val="1004"/>
    <w:uiPriority w:val="30"/>
    <w:rPr>
      <w:i/>
    </w:rPr>
  </w:style>
  <w:style w:type="character" w:styleId="1006" w:customStyle="1">
    <w:name w:val="Header Char"/>
    <w:basedOn w:val="973"/>
    <w:uiPriority w:val="99"/>
  </w:style>
  <w:style w:type="character" w:styleId="1007" w:customStyle="1">
    <w:name w:val="Footer Char"/>
    <w:basedOn w:val="973"/>
    <w:uiPriority w:val="99"/>
  </w:style>
  <w:style w:type="paragraph" w:styleId="1008">
    <w:name w:val="Caption"/>
    <w:basedOn w:val="963"/>
    <w:next w:val="963"/>
    <w:link w:val="1009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1009" w:customStyle="1">
    <w:name w:val="Caption Char"/>
    <w:uiPriority w:val="99"/>
  </w:style>
  <w:style w:type="table" w:styleId="1010" w:customStyle="1">
    <w:name w:val="Table Grid Light"/>
    <w:basedOn w:val="97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011" w:customStyle="1">
    <w:name w:val="Таблица простая 11"/>
    <w:basedOn w:val="97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12" w:customStyle="1">
    <w:name w:val="Таблица простая 21"/>
    <w:basedOn w:val="97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13" w:customStyle="1">
    <w:name w:val="Таблица простая 31"/>
    <w:basedOn w:val="9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14" w:customStyle="1">
    <w:name w:val="Таблица простая 41"/>
    <w:basedOn w:val="9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 w:customStyle="1">
    <w:name w:val="Таблица простая 51"/>
    <w:basedOn w:val="9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16" w:customStyle="1">
    <w:name w:val="Таблица-сетка 1 светлая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 w:customStyle="1">
    <w:name w:val="Grid Table 1 Light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 w:customStyle="1">
    <w:name w:val="Grid Table 1 Light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 w:customStyle="1">
    <w:name w:val="Grid Table 1 Light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 w:customStyle="1">
    <w:name w:val="Grid Table 1 Light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 w:customStyle="1">
    <w:name w:val="Grid Table 1 Light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 w:customStyle="1">
    <w:name w:val="Grid Table 1 Light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 w:customStyle="1">
    <w:name w:val="Таблица-сетка 2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 w:customStyle="1">
    <w:name w:val="Grid Table 2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 w:customStyle="1">
    <w:name w:val="Grid Table 2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 w:customStyle="1">
    <w:name w:val="Grid Table 2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 w:customStyle="1">
    <w:name w:val="Grid Table 2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 w:customStyle="1">
    <w:name w:val="Grid Table 2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 w:customStyle="1">
    <w:name w:val="Grid Table 2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 w:customStyle="1">
    <w:name w:val="Таблица-сетка 3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 w:customStyle="1">
    <w:name w:val="Grid Table 3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 w:customStyle="1">
    <w:name w:val="Grid Table 3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 w:customStyle="1">
    <w:name w:val="Grid Table 3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 w:customStyle="1">
    <w:name w:val="Grid Table 3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5" w:customStyle="1">
    <w:name w:val="Grid Table 3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6" w:customStyle="1">
    <w:name w:val="Grid Table 3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7" w:customStyle="1">
    <w:name w:val="Таблица-сетка 41"/>
    <w:basedOn w:val="9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38" w:customStyle="1">
    <w:name w:val="Grid Table 4 - Accent 1"/>
    <w:basedOn w:val="9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1039" w:customStyle="1">
    <w:name w:val="Grid Table 4 - Accent 2"/>
    <w:basedOn w:val="9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040" w:customStyle="1">
    <w:name w:val="Grid Table 4 - Accent 3"/>
    <w:basedOn w:val="9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041" w:customStyle="1">
    <w:name w:val="Grid Table 4 - Accent 4"/>
    <w:basedOn w:val="9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042" w:customStyle="1">
    <w:name w:val="Grid Table 4 - Accent 5"/>
    <w:basedOn w:val="9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043" w:customStyle="1">
    <w:name w:val="Grid Table 4 - Accent 6"/>
    <w:basedOn w:val="9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044" w:customStyle="1">
    <w:name w:val="Таблица-сетка 5 темная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045" w:customStyle="1">
    <w:name w:val="Grid Table 5 Dark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1046" w:customStyle="1">
    <w:name w:val="Grid Table 5 Dark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047" w:customStyle="1">
    <w:name w:val="Grid Table 5 Dark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048" w:customStyle="1">
    <w:name w:val="Grid Table 5 Dark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049" w:customStyle="1">
    <w:name w:val="Grid Table 5 Dark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1050" w:customStyle="1">
    <w:name w:val="Grid Table 5 Dark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051" w:customStyle="1">
    <w:name w:val="Таблица-сетка 6 цветная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052" w:customStyle="1">
    <w:name w:val="Grid Table 6 Colorful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053" w:customStyle="1">
    <w:name w:val="Grid Table 6 Colorful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054" w:customStyle="1">
    <w:name w:val="Grid Table 6 Colorful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055" w:customStyle="1">
    <w:name w:val="Grid Table 6 Colorful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056" w:customStyle="1">
    <w:name w:val="Grid Table 6 Colorful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057" w:customStyle="1">
    <w:name w:val="Grid Table 6 Colorful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058" w:customStyle="1">
    <w:name w:val="Таблица-сетка 7 цветная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 w:customStyle="1">
    <w:name w:val="Grid Table 7 Colorful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 w:customStyle="1">
    <w:name w:val="Grid Table 7 Colorful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 w:customStyle="1">
    <w:name w:val="Grid Table 7 Colorful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2" w:customStyle="1">
    <w:name w:val="Grid Table 7 Colorful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3" w:customStyle="1">
    <w:name w:val="Grid Table 7 Colorful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4" w:customStyle="1">
    <w:name w:val="Grid Table 7 Colorful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5" w:customStyle="1">
    <w:name w:val="Список-таблица 1 светлая1"/>
    <w:basedOn w:val="9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6" w:customStyle="1">
    <w:name w:val="List Table 1 Light - Accent 1"/>
    <w:basedOn w:val="9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7" w:customStyle="1">
    <w:name w:val="List Table 1 Light - Accent 2"/>
    <w:basedOn w:val="9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8" w:customStyle="1">
    <w:name w:val="List Table 1 Light - Accent 3"/>
    <w:basedOn w:val="9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9" w:customStyle="1">
    <w:name w:val="List Table 1 Light - Accent 4"/>
    <w:basedOn w:val="9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0" w:customStyle="1">
    <w:name w:val="List Table 1 Light - Accent 5"/>
    <w:basedOn w:val="9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1" w:customStyle="1">
    <w:name w:val="List Table 1 Light - Accent 6"/>
    <w:basedOn w:val="9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2" w:customStyle="1">
    <w:name w:val="Список-таблица 2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073" w:customStyle="1">
    <w:name w:val="List Table 2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074" w:customStyle="1">
    <w:name w:val="List Table 2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075" w:customStyle="1">
    <w:name w:val="List Table 2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076" w:customStyle="1">
    <w:name w:val="List Table 2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077" w:customStyle="1">
    <w:name w:val="List Table 2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078" w:customStyle="1">
    <w:name w:val="List Table 2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079" w:customStyle="1">
    <w:name w:val="Список-таблица 3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0" w:customStyle="1">
    <w:name w:val="List Table 3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1" w:customStyle="1">
    <w:name w:val="List Table 3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2" w:customStyle="1">
    <w:name w:val="List Table 3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3" w:customStyle="1">
    <w:name w:val="List Table 3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4" w:customStyle="1">
    <w:name w:val="List Table 3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5" w:customStyle="1">
    <w:name w:val="List Table 3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6" w:customStyle="1">
    <w:name w:val="Список-таблица 4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7" w:customStyle="1">
    <w:name w:val="List Table 4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8" w:customStyle="1">
    <w:name w:val="List Table 4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9" w:customStyle="1">
    <w:name w:val="List Table 4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0" w:customStyle="1">
    <w:name w:val="List Table 4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1" w:customStyle="1">
    <w:name w:val="List Table 4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2" w:customStyle="1">
    <w:name w:val="List Table 4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3" w:customStyle="1">
    <w:name w:val="Список-таблица 5 темная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94" w:customStyle="1">
    <w:name w:val="List Table 5 Dark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95" w:customStyle="1">
    <w:name w:val="List Table 5 Dark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96" w:customStyle="1">
    <w:name w:val="List Table 5 Dark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97" w:customStyle="1">
    <w:name w:val="List Table 5 Dark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98" w:customStyle="1">
    <w:name w:val="List Table 5 Dark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99" w:customStyle="1">
    <w:name w:val="List Table 5 Dark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00" w:customStyle="1">
    <w:name w:val="Список-таблица 6 цветная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101" w:customStyle="1">
    <w:name w:val="List Table 6 Colorful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102" w:customStyle="1">
    <w:name w:val="List Table 6 Colorful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103" w:customStyle="1">
    <w:name w:val="List Table 6 Colorful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104" w:customStyle="1">
    <w:name w:val="List Table 6 Colorful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105" w:customStyle="1">
    <w:name w:val="List Table 6 Colorful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106" w:customStyle="1">
    <w:name w:val="List Table 6 Colorful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107" w:customStyle="1">
    <w:name w:val="Список-таблица 7 цветная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8" w:customStyle="1">
    <w:name w:val="List Table 7 Colorful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9" w:customStyle="1">
    <w:name w:val="List Table 7 Colorful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0" w:customStyle="1">
    <w:name w:val="List Table 7 Colorful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1" w:customStyle="1">
    <w:name w:val="List Table 7 Colorful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2" w:customStyle="1">
    <w:name w:val="List Table 7 Colorful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3" w:customStyle="1">
    <w:name w:val="List Table 7 Colorful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4" w:customStyle="1">
    <w:name w:val="Lined - Accent"/>
    <w:basedOn w:val="9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115" w:customStyle="1">
    <w:name w:val="Lined - Accent 1"/>
    <w:basedOn w:val="9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116" w:customStyle="1">
    <w:name w:val="Lined - Accent 2"/>
    <w:basedOn w:val="9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117" w:customStyle="1">
    <w:name w:val="Lined - Accent 3"/>
    <w:basedOn w:val="9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118" w:customStyle="1">
    <w:name w:val="Lined - Accent 4"/>
    <w:basedOn w:val="9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119" w:customStyle="1">
    <w:name w:val="Lined - Accent 5"/>
    <w:basedOn w:val="9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120" w:customStyle="1">
    <w:name w:val="Lined - Accent 6"/>
    <w:basedOn w:val="9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121" w:customStyle="1">
    <w:name w:val="Bordered &amp; Lined - Accent"/>
    <w:basedOn w:val="9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122" w:customStyle="1">
    <w:name w:val="Bordered &amp; Lined - Accent 1"/>
    <w:basedOn w:val="9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123" w:customStyle="1">
    <w:name w:val="Bordered &amp; Lined - Accent 2"/>
    <w:basedOn w:val="9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124" w:customStyle="1">
    <w:name w:val="Bordered &amp; Lined - Accent 3"/>
    <w:basedOn w:val="9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125" w:customStyle="1">
    <w:name w:val="Bordered &amp; Lined - Accent 4"/>
    <w:basedOn w:val="9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126" w:customStyle="1">
    <w:name w:val="Bordered &amp; Lined - Accent 5"/>
    <w:basedOn w:val="9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127" w:customStyle="1">
    <w:name w:val="Bordered &amp; Lined - Accent 6"/>
    <w:basedOn w:val="9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128" w:customStyle="1">
    <w:name w:val="Bordered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129" w:customStyle="1">
    <w:name w:val="Bordered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130" w:customStyle="1">
    <w:name w:val="Bordered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131" w:customStyle="1">
    <w:name w:val="Bordered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132" w:customStyle="1">
    <w:name w:val="Bordered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133" w:customStyle="1">
    <w:name w:val="Bordered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134" w:customStyle="1">
    <w:name w:val="Bordered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1135">
    <w:name w:val="footnote text"/>
    <w:basedOn w:val="963"/>
    <w:link w:val="1136"/>
    <w:uiPriority w:val="99"/>
    <w:semiHidden/>
    <w:unhideWhenUsed/>
    <w:pPr>
      <w:spacing w:after="40"/>
    </w:pPr>
    <w:rPr>
      <w:sz w:val="18"/>
    </w:rPr>
  </w:style>
  <w:style w:type="character" w:styleId="1136" w:customStyle="1">
    <w:name w:val="Текст сноски Знак"/>
    <w:link w:val="1135"/>
    <w:uiPriority w:val="99"/>
    <w:rPr>
      <w:sz w:val="18"/>
    </w:rPr>
  </w:style>
  <w:style w:type="character" w:styleId="1137">
    <w:name w:val="footnote reference"/>
    <w:basedOn w:val="973"/>
    <w:uiPriority w:val="99"/>
    <w:unhideWhenUsed/>
    <w:rPr>
      <w:vertAlign w:val="superscript"/>
    </w:rPr>
  </w:style>
  <w:style w:type="paragraph" w:styleId="1138">
    <w:name w:val="endnote text"/>
    <w:basedOn w:val="963"/>
    <w:link w:val="1139"/>
    <w:uiPriority w:val="99"/>
    <w:semiHidden/>
    <w:unhideWhenUsed/>
  </w:style>
  <w:style w:type="character" w:styleId="1139" w:customStyle="1">
    <w:name w:val="Текст концевой сноски Знак"/>
    <w:link w:val="1138"/>
    <w:uiPriority w:val="99"/>
    <w:rPr>
      <w:sz w:val="20"/>
    </w:rPr>
  </w:style>
  <w:style w:type="character" w:styleId="1140">
    <w:name w:val="endnote reference"/>
    <w:basedOn w:val="973"/>
    <w:uiPriority w:val="99"/>
    <w:semiHidden/>
    <w:unhideWhenUsed/>
    <w:rPr>
      <w:vertAlign w:val="superscript"/>
    </w:rPr>
  </w:style>
  <w:style w:type="paragraph" w:styleId="1141">
    <w:name w:val="toc 2"/>
    <w:basedOn w:val="963"/>
    <w:next w:val="963"/>
    <w:uiPriority w:val="39"/>
    <w:unhideWhenUsed/>
    <w:pPr>
      <w:ind w:left="283"/>
      <w:spacing w:after="57"/>
    </w:pPr>
  </w:style>
  <w:style w:type="paragraph" w:styleId="1142">
    <w:name w:val="toc 3"/>
    <w:basedOn w:val="963"/>
    <w:next w:val="963"/>
    <w:uiPriority w:val="39"/>
    <w:unhideWhenUsed/>
    <w:pPr>
      <w:ind w:left="567"/>
      <w:spacing w:after="57"/>
    </w:pPr>
  </w:style>
  <w:style w:type="paragraph" w:styleId="1143">
    <w:name w:val="toc 5"/>
    <w:basedOn w:val="963"/>
    <w:next w:val="963"/>
    <w:uiPriority w:val="39"/>
    <w:unhideWhenUsed/>
    <w:pPr>
      <w:ind w:left="1134"/>
      <w:spacing w:after="57"/>
    </w:pPr>
  </w:style>
  <w:style w:type="paragraph" w:styleId="1144">
    <w:name w:val="toc 6"/>
    <w:basedOn w:val="963"/>
    <w:next w:val="963"/>
    <w:uiPriority w:val="39"/>
    <w:unhideWhenUsed/>
    <w:pPr>
      <w:ind w:left="1417"/>
      <w:spacing w:after="57"/>
    </w:pPr>
  </w:style>
  <w:style w:type="paragraph" w:styleId="1145">
    <w:name w:val="toc 7"/>
    <w:basedOn w:val="963"/>
    <w:next w:val="963"/>
    <w:uiPriority w:val="39"/>
    <w:unhideWhenUsed/>
    <w:pPr>
      <w:ind w:left="1701"/>
      <w:spacing w:after="57"/>
    </w:pPr>
  </w:style>
  <w:style w:type="paragraph" w:styleId="1146">
    <w:name w:val="toc 8"/>
    <w:basedOn w:val="963"/>
    <w:next w:val="963"/>
    <w:uiPriority w:val="39"/>
    <w:unhideWhenUsed/>
    <w:pPr>
      <w:ind w:left="1984"/>
      <w:spacing w:after="57"/>
    </w:pPr>
  </w:style>
  <w:style w:type="paragraph" w:styleId="1147">
    <w:name w:val="toc 9"/>
    <w:basedOn w:val="963"/>
    <w:next w:val="963"/>
    <w:uiPriority w:val="39"/>
    <w:unhideWhenUsed/>
    <w:pPr>
      <w:ind w:left="2268"/>
      <w:spacing w:after="57"/>
    </w:pPr>
  </w:style>
  <w:style w:type="paragraph" w:styleId="1148">
    <w:name w:val="TOC Heading"/>
    <w:uiPriority w:val="39"/>
    <w:unhideWhenUsed/>
  </w:style>
  <w:style w:type="paragraph" w:styleId="1149">
    <w:name w:val="table of figures"/>
    <w:basedOn w:val="963"/>
    <w:next w:val="963"/>
    <w:uiPriority w:val="99"/>
    <w:unhideWhenUsed/>
  </w:style>
  <w:style w:type="paragraph" w:styleId="1150">
    <w:name w:val="toc 1"/>
    <w:basedOn w:val="963"/>
    <w:next w:val="963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character" w:styleId="1151">
    <w:name w:val="Hyperlink"/>
    <w:uiPriority w:val="99"/>
    <w:rPr>
      <w:color w:val="0000ff"/>
      <w:u w:val="single"/>
    </w:rPr>
  </w:style>
  <w:style w:type="paragraph" w:styleId="1152">
    <w:name w:val="toc 4"/>
    <w:basedOn w:val="963"/>
    <w:next w:val="963"/>
    <w:uiPriority w:val="39"/>
    <w:pPr>
      <w:ind w:left="560"/>
    </w:pPr>
    <w:rPr>
      <w:rFonts w:cstheme="minorHAnsi"/>
    </w:rPr>
  </w:style>
  <w:style w:type="paragraph" w:styleId="1153">
    <w:name w:val="Header"/>
    <w:basedOn w:val="963"/>
    <w:link w:val="115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154" w:customStyle="1">
    <w:name w:val="Верхний колонтитул Знак"/>
    <w:basedOn w:val="973"/>
    <w:link w:val="1153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155">
    <w:name w:val="Footer"/>
    <w:basedOn w:val="963"/>
    <w:link w:val="115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156" w:customStyle="1">
    <w:name w:val="Нижний колонтитул Знак"/>
    <w:basedOn w:val="973"/>
    <w:link w:val="1155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157" w:customStyle="1">
    <w:name w:val="Заголовок 1 Знак"/>
    <w:basedOn w:val="973"/>
    <w:link w:val="964"/>
    <w:rPr>
      <w:rFonts w:ascii="Times New Roman" w:hAnsi="Times New Roman" w:eastAsia="Calibri" w:cs="Times New Roman"/>
      <w:b/>
      <w:sz w:val="28"/>
      <w:szCs w:val="28"/>
      <w:lang w:eastAsia="ru-RU"/>
    </w:rPr>
  </w:style>
  <w:style w:type="character" w:styleId="1158" w:customStyle="1">
    <w:name w:val="Заголовок 3 Знак"/>
    <w:basedOn w:val="973"/>
    <w:link w:val="966"/>
    <w:rPr>
      <w:rFonts w:ascii="Times New Roman" w:hAnsi="Times New Roman" w:eastAsia="Calibri" w:cs="Times New Roman"/>
      <w:b/>
      <w:sz w:val="24"/>
      <w:szCs w:val="24"/>
      <w:lang w:eastAsia="ru-RU"/>
    </w:rPr>
  </w:style>
  <w:style w:type="character" w:styleId="1159" w:customStyle="1">
    <w:name w:val="Заголовок 4 Знак"/>
    <w:basedOn w:val="973"/>
    <w:link w:val="967"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1160" w:customStyle="1">
    <w:name w:val="комментарий"/>
    <w:rPr>
      <w:b/>
      <w:i/>
      <w:shd w:val="clear" w:color="auto" w:fill="ffff99"/>
    </w:rPr>
  </w:style>
  <w:style w:type="paragraph" w:styleId="1161" w:customStyle="1">
    <w:name w:val="Раздел положения"/>
    <w:basedOn w:val="963"/>
    <w:pPr>
      <w:numPr>
        <w:ilvl w:val="0"/>
        <w:numId w:val="2"/>
      </w:numPr>
      <w:jc w:val="center"/>
      <w:spacing w:before="80" w:after="80"/>
    </w:pPr>
    <w:rPr>
      <w:b/>
      <w:sz w:val="32"/>
      <w:szCs w:val="32"/>
    </w:rPr>
  </w:style>
  <w:style w:type="paragraph" w:styleId="1162" w:customStyle="1">
    <w:name w:val="Подраздел раздела положения"/>
    <w:basedOn w:val="963"/>
    <w:pPr>
      <w:numPr>
        <w:ilvl w:val="1"/>
        <w:numId w:val="2"/>
      </w:numPr>
      <w:jc w:val="both"/>
      <w:spacing w:before="80" w:after="80"/>
    </w:pPr>
  </w:style>
  <w:style w:type="paragraph" w:styleId="1163">
    <w:name w:val="List Paragraph"/>
    <w:basedOn w:val="963"/>
    <w:link w:val="1164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character" w:styleId="1164" w:customStyle="1">
    <w:name w:val="Абзац списка Знак"/>
    <w:link w:val="1163"/>
    <w:uiPriority w:val="34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165" w:customStyle="1">
    <w:name w:val="Таблица шапка"/>
    <w:basedOn w:val="963"/>
    <w:pPr>
      <w:ind w:left="57" w:right="57"/>
      <w:keepNext/>
      <w:spacing w:before="40" w:after="40"/>
    </w:pPr>
    <w:rPr>
      <w:sz w:val="22"/>
      <w:szCs w:val="26"/>
    </w:rPr>
  </w:style>
  <w:style w:type="table" w:styleId="1166">
    <w:name w:val="Table Grid"/>
    <w:basedOn w:val="974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67" w:customStyle="1">
    <w:name w:val="Таблица"/>
    <w:basedOn w:val="963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1168">
    <w:name w:val="annotation text"/>
    <w:basedOn w:val="963"/>
    <w:link w:val="1169"/>
    <w:semiHidden/>
  </w:style>
  <w:style w:type="character" w:styleId="1169" w:customStyle="1">
    <w:name w:val="Текст примечания Знак"/>
    <w:basedOn w:val="973"/>
    <w:link w:val="1168"/>
    <w:semiHidden/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Коломин Олег Станиславович</dc:creator>
  <cp:keywords/>
  <dc:description/>
  <cp:lastModifiedBy>nikitina_nv</cp:lastModifiedBy>
  <cp:revision>78</cp:revision>
  <dcterms:created xsi:type="dcterms:W3CDTF">2023-01-10T06:58:00Z</dcterms:created>
  <dcterms:modified xsi:type="dcterms:W3CDTF">2026-05-15T01:25:21Z</dcterms:modified>
</cp:coreProperties>
</file>